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4A8C0" w14:textId="67C7E7C5" w:rsidR="005333BB" w:rsidRDefault="005333BB" w:rsidP="005333BB">
      <w:pPr>
        <w:pStyle w:val="a6"/>
      </w:pPr>
      <w:r>
        <w:rPr>
          <w:noProof/>
        </w:rPr>
        <mc:AlternateContent>
          <mc:Choice Requires="wps">
            <w:drawing>
              <wp:anchor distT="0" distB="0" distL="114300" distR="114300" simplePos="0" relativeHeight="251658240" behindDoc="0" locked="0" layoutInCell="1" allowOverlap="1" wp14:anchorId="3426BF81" wp14:editId="6745DD9E">
                <wp:simplePos x="0" y="0"/>
                <wp:positionH relativeFrom="page">
                  <wp:posOffset>825500</wp:posOffset>
                </wp:positionH>
                <wp:positionV relativeFrom="page">
                  <wp:posOffset>812800</wp:posOffset>
                </wp:positionV>
                <wp:extent cx="920750" cy="303530"/>
                <wp:effectExtent l="0" t="0" r="0" b="1270"/>
                <wp:wrapNone/>
                <wp:docPr id="670867403"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0"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8D753B" w14:textId="5BA31EEA" w:rsidR="005333BB" w:rsidRDefault="005333BB" w:rsidP="005333BB">
                            <w:pPr>
                              <w:pStyle w:val="a6"/>
                              <w:wordWrap/>
                              <w:jc w:val="center"/>
                            </w:pPr>
                            <w:r>
                              <w:rPr>
                                <w:rFonts w:ascii="맑은 고딕" w:eastAsia="맑은 고딕" w:hAnsi="맑은 고딕" w:hint="eastAsia"/>
                                <w:sz w:val="24"/>
                                <w:szCs w:val="24"/>
                              </w:rPr>
                              <w:t xml:space="preserve">부록 </w:t>
                            </w:r>
                            <w:r>
                              <w:rPr>
                                <w:rFonts w:ascii="맑은 고딕" w:eastAsia="맑은 고딕" w:hAnsi="맑은 고딕"/>
                                <w:sz w:val="24"/>
                                <w:szCs w:val="24"/>
                              </w:rPr>
                              <w:t>4</w:t>
                            </w:r>
                            <w:r>
                              <w:rPr>
                                <w:rFonts w:ascii="맑은 고딕" w:eastAsia="맑은 고딕" w:hAnsi="맑은 고딕" w:hint="eastAsia"/>
                                <w:sz w:val="24"/>
                                <w:szCs w:val="24"/>
                              </w:rPr>
                              <w:t>-</w:t>
                            </w:r>
                            <w:r>
                              <w:rPr>
                                <w:rFonts w:ascii="맑은 고딕" w:eastAsia="맑은 고딕" w:hAnsi="맑은 고딕"/>
                                <w:sz w:val="24"/>
                                <w:szCs w:val="24"/>
                              </w:rPr>
                              <w:t>3</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26BF81" id="직사각형 1" o:spid="_x0000_s1026" style="position:absolute;left:0;text-align:left;margin-left:65pt;margin-top:64pt;width:72.5pt;height:23.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" stroked="f">
                <v:textbox>
                  <w:txbxContent>
                    <w:p w14:paraId="4D8D753B" w14:textId="5BA31EEA" w:rsidR="005333BB" w:rsidRDefault="005333BB" w:rsidP="005333BB">
                      <w:pPr>
                        <w:pStyle w:val="a6"/>
                        <w:wordWrap/>
                        <w:jc w:val="center"/>
                      </w:pPr>
                      <w:r>
                        <w:rPr>
                          <w:rFonts w:ascii="맑은 고딕" w:eastAsia="맑은 고딕" w:hAnsi="맑은 고딕" w:hint="eastAsia"/>
                          <w:sz w:val="24"/>
                          <w:szCs w:val="24"/>
                        </w:rPr>
                        <w:t xml:space="preserve">부록 </w:t>
                      </w:r>
                      <w:r>
                        <w:rPr>
                          <w:rFonts w:ascii="맑은 고딕" w:eastAsia="맑은 고딕" w:hAnsi="맑은 고딕"/>
                          <w:sz w:val="24"/>
                          <w:szCs w:val="24"/>
                        </w:rPr>
                        <w:t>4</w:t>
                      </w:r>
                      <w:r>
                        <w:rPr>
                          <w:rFonts w:ascii="맑은 고딕" w:eastAsia="맑은 고딕" w:hAnsi="맑은 고딕" w:hint="eastAsia"/>
                          <w:sz w:val="24"/>
                          <w:szCs w:val="24"/>
                        </w:rPr>
                        <w:t>-</w:t>
                      </w:r>
                      <w:r>
                        <w:rPr>
                          <w:rFonts w:ascii="맑은 고딕" w:eastAsia="맑은 고딕" w:hAnsi="맑은 고딕"/>
                          <w:sz w:val="24"/>
                          <w:szCs w:val="24"/>
                        </w:rPr>
                        <w:t>3</w:t>
                      </w:r>
                    </w:p>
                  </w:txbxContent>
                </v:textbox>
                <w10:wrap anchorx="page" anchory="page"/>
              </v:rect>
            </w:pict>
          </mc:Fallback>
        </mc:AlternateContent>
      </w:r>
    </w:p>
    <w:p w14:paraId="0550DB45" w14:textId="77777777" w:rsidR="003A61D4" w:rsidRDefault="003A61D4">
      <w:pPr>
        <w:keepNext/>
        <w:pBdr>
          <w:top w:val="nil"/>
          <w:left w:val="nil"/>
          <w:bottom w:val="nil"/>
          <w:right w:val="nil"/>
          <w:between w:val="nil"/>
        </w:pBdr>
        <w:jc w:val="right"/>
        <w:rPr>
          <w:b/>
          <w:color w:val="000000"/>
          <w:sz w:val="28"/>
          <w:szCs w:val="28"/>
        </w:rPr>
      </w:pPr>
    </w:p>
    <w:p w14:paraId="203B85C6" w14:textId="67912E10" w:rsidR="003A61D4" w:rsidRPr="00660F55" w:rsidRDefault="00660F55" w:rsidP="00660F55">
      <w:pPr>
        <w:pStyle w:val="a6"/>
        <w:jc w:val="center"/>
        <w:rPr>
          <w:sz w:val="32"/>
          <w:szCs w:val="32"/>
          <w:u w:val="single"/>
        </w:rPr>
      </w:pPr>
      <w:r w:rsidRPr="00660F55">
        <w:rPr>
          <w:rFonts w:ascii="Times New Roman" w:eastAsia="Times New Roman" w:hAnsi="Times New Roman" w:cs="Times New Roman" w:hint="eastAsia"/>
          <w:b/>
          <w:sz w:val="32"/>
          <w:szCs w:val="32"/>
          <w:u w:val="single"/>
        </w:rPr>
        <w:t>○○○</w:t>
      </w:r>
      <w:r w:rsidRPr="00660F55">
        <w:rPr>
          <w:rFonts w:ascii="Times New Roman" w:eastAsia="Times New Roman" w:hAnsi="Times New Roman" w:cs="Times New Roman"/>
          <w:b/>
          <w:sz w:val="32"/>
          <w:szCs w:val="32"/>
          <w:u w:val="single"/>
        </w:rPr>
        <w:t xml:space="preserve"> Construction Project</w:t>
      </w:r>
    </w:p>
    <w:p w14:paraId="2687CEFA" w14:textId="77777777" w:rsidR="003A61D4" w:rsidRPr="00660F55" w:rsidRDefault="00000000">
      <w:pPr>
        <w:pBdr>
          <w:top w:val="nil"/>
          <w:left w:val="nil"/>
          <w:bottom w:val="nil"/>
          <w:right w:val="nil"/>
          <w:between w:val="nil"/>
        </w:pBdr>
        <w:jc w:val="center"/>
        <w:rPr>
          <w:color w:val="000000"/>
          <w:sz w:val="32"/>
          <w:szCs w:val="32"/>
          <w:u w:val="single"/>
        </w:rPr>
      </w:pPr>
      <w:r w:rsidRPr="00660F55">
        <w:rPr>
          <w:rFonts w:eastAsia="Times New Roman"/>
          <w:b/>
          <w:color w:val="000000"/>
          <w:sz w:val="32"/>
          <w:szCs w:val="32"/>
          <w:u w:val="single"/>
        </w:rPr>
        <w:t>Transferable Term Loan Facility</w:t>
      </w:r>
    </w:p>
    <w:p w14:paraId="431C22B0" w14:textId="77777777" w:rsidR="003A61D4" w:rsidRPr="00660F55" w:rsidRDefault="00000000">
      <w:pPr>
        <w:pBdr>
          <w:top w:val="nil"/>
          <w:left w:val="nil"/>
          <w:bottom w:val="nil"/>
          <w:right w:val="nil"/>
          <w:between w:val="nil"/>
        </w:pBdr>
        <w:jc w:val="center"/>
        <w:rPr>
          <w:color w:val="000000"/>
          <w:sz w:val="28"/>
          <w:szCs w:val="28"/>
          <w:u w:val="single"/>
        </w:rPr>
      </w:pPr>
      <w:r w:rsidRPr="00660F55">
        <w:rPr>
          <w:rFonts w:eastAsia="Times New Roman"/>
          <w:b/>
          <w:color w:val="000000"/>
          <w:sz w:val="28"/>
          <w:szCs w:val="28"/>
          <w:u w:val="single"/>
        </w:rPr>
        <w:t>Guaranteed by the Government of the Republic of 000000</w:t>
      </w:r>
    </w:p>
    <w:p w14:paraId="296B99EC" w14:textId="77777777" w:rsidR="003A61D4" w:rsidRDefault="003A61D4">
      <w:pPr>
        <w:pBdr>
          <w:top w:val="nil"/>
          <w:left w:val="nil"/>
          <w:bottom w:val="nil"/>
          <w:right w:val="nil"/>
          <w:between w:val="nil"/>
        </w:pBdr>
        <w:jc w:val="center"/>
        <w:rPr>
          <w:color w:val="000000"/>
          <w:sz w:val="28"/>
          <w:szCs w:val="28"/>
        </w:rPr>
      </w:pPr>
    </w:p>
    <w:p w14:paraId="1FFCC05D" w14:textId="77777777" w:rsidR="003A61D4" w:rsidRPr="00660F55" w:rsidRDefault="00000000">
      <w:pPr>
        <w:pBdr>
          <w:top w:val="nil"/>
          <w:left w:val="nil"/>
          <w:bottom w:val="nil"/>
          <w:right w:val="nil"/>
          <w:between w:val="nil"/>
        </w:pBdr>
        <w:jc w:val="center"/>
        <w:rPr>
          <w:color w:val="000000"/>
          <w:sz w:val="28"/>
          <w:szCs w:val="28"/>
          <w:u w:val="single"/>
        </w:rPr>
      </w:pPr>
      <w:r w:rsidRPr="00660F55">
        <w:rPr>
          <w:rFonts w:eastAsia="Times New Roman"/>
          <w:b/>
          <w:color w:val="000000"/>
          <w:sz w:val="28"/>
          <w:szCs w:val="28"/>
          <w:u w:val="single"/>
        </w:rPr>
        <w:t>Summary of Indicative Terms &amp; Conditions</w:t>
      </w:r>
    </w:p>
    <w:p w14:paraId="3E6C6A28" w14:textId="77777777" w:rsidR="003A61D4" w:rsidRDefault="003A61D4">
      <w:pPr>
        <w:pBdr>
          <w:top w:val="nil"/>
          <w:left w:val="nil"/>
          <w:bottom w:val="nil"/>
          <w:right w:val="nil"/>
          <w:between w:val="nil"/>
        </w:pBdr>
        <w:jc w:val="center"/>
        <w:rPr>
          <w:color w:val="000000"/>
          <w:sz w:val="28"/>
          <w:szCs w:val="28"/>
        </w:rPr>
      </w:pPr>
    </w:p>
    <w:p w14:paraId="6031471D" w14:textId="77777777" w:rsidR="003A61D4" w:rsidRDefault="00000000">
      <w:pPr>
        <w:pBdr>
          <w:top w:val="nil"/>
          <w:left w:val="nil"/>
          <w:bottom w:val="nil"/>
          <w:right w:val="nil"/>
          <w:between w:val="nil"/>
        </w:pBdr>
        <w:jc w:val="both"/>
        <w:rPr>
          <w:i/>
          <w:color w:val="000000"/>
          <w:sz w:val="28"/>
          <w:szCs w:val="28"/>
        </w:rPr>
      </w:pPr>
      <w:r>
        <w:rPr>
          <w:rFonts w:eastAsia="Times New Roman"/>
          <w:i/>
          <w:color w:val="000000"/>
          <w:sz w:val="28"/>
          <w:szCs w:val="28"/>
        </w:rPr>
        <w:t xml:space="preserve">The Proposal is intended to be used as a basis for </w:t>
      </w:r>
      <w:proofErr w:type="gramStart"/>
      <w:r>
        <w:rPr>
          <w:rFonts w:eastAsia="Times New Roman"/>
          <w:i/>
          <w:color w:val="000000"/>
          <w:sz w:val="28"/>
          <w:szCs w:val="28"/>
        </w:rPr>
        <w:t>discussion, and</w:t>
      </w:r>
      <w:proofErr w:type="gramEnd"/>
      <w:r>
        <w:rPr>
          <w:rFonts w:eastAsia="Times New Roman"/>
          <w:i/>
          <w:color w:val="000000"/>
          <w:sz w:val="28"/>
          <w:szCs w:val="28"/>
        </w:rPr>
        <w:t xml:space="preserve"> does not constitute a commitment or undertaking of the Arranger to lend, underwrite or syndicate the Facility or any financing. Any such commitment of the Arranger would be subject to, among other things, (</w:t>
      </w:r>
      <w:proofErr w:type="spellStart"/>
      <w:r>
        <w:rPr>
          <w:rFonts w:eastAsia="Times New Roman"/>
          <w:i/>
          <w:color w:val="000000"/>
          <w:sz w:val="28"/>
          <w:szCs w:val="28"/>
        </w:rPr>
        <w:t>i</w:t>
      </w:r>
      <w:proofErr w:type="spellEnd"/>
      <w:r>
        <w:rPr>
          <w:rFonts w:eastAsia="Times New Roman"/>
          <w:i/>
          <w:color w:val="000000"/>
          <w:sz w:val="28"/>
          <w:szCs w:val="28"/>
        </w:rPr>
        <w:t xml:space="preserve">) completion of the necessary due diligence to the satisfaction of the Arranger; (ii) final credit approval of the Arranger; and (iv) other financial institutions would join the Facility on the basis as outlined in the attached indicative term sheet. The terms and conditions of the Proposal may be modified or supplemented by the Arranger at their sole discretion at any time and from time to time </w:t>
      </w:r>
      <w:proofErr w:type="gramStart"/>
      <w:r>
        <w:rPr>
          <w:rFonts w:eastAsia="Times New Roman"/>
          <w:i/>
          <w:color w:val="000000"/>
          <w:sz w:val="28"/>
          <w:szCs w:val="28"/>
        </w:rPr>
        <w:t>during the course of</w:t>
      </w:r>
      <w:proofErr w:type="gramEnd"/>
      <w:r>
        <w:rPr>
          <w:rFonts w:eastAsia="Times New Roman"/>
          <w:i/>
          <w:color w:val="000000"/>
          <w:sz w:val="28"/>
          <w:szCs w:val="28"/>
        </w:rPr>
        <w:t xml:space="preserve"> their due diligence and credit approval process or as a result of any change of the market conditions, the business or financial condition of the Borrower or otherwise. </w:t>
      </w:r>
    </w:p>
    <w:p w14:paraId="5D82016B" w14:textId="77777777" w:rsidR="003A61D4" w:rsidRDefault="003A61D4">
      <w:pPr>
        <w:pBdr>
          <w:top w:val="nil"/>
          <w:left w:val="nil"/>
          <w:bottom w:val="nil"/>
          <w:right w:val="nil"/>
          <w:between w:val="nil"/>
        </w:pBdr>
        <w:jc w:val="center"/>
        <w:rPr>
          <w:color w:val="000000"/>
          <w:sz w:val="28"/>
          <w:szCs w:val="28"/>
        </w:rPr>
      </w:pPr>
    </w:p>
    <w:tbl>
      <w:tblPr>
        <w:tblStyle w:val="a5"/>
        <w:tblW w:w="9227" w:type="dxa"/>
        <w:tblInd w:w="0" w:type="dxa"/>
        <w:tblLayout w:type="fixed"/>
        <w:tblLook w:val="0000" w:firstRow="0" w:lastRow="0" w:firstColumn="0" w:lastColumn="0" w:noHBand="0" w:noVBand="0"/>
      </w:tblPr>
      <w:tblGrid>
        <w:gridCol w:w="2599"/>
        <w:gridCol w:w="6628"/>
      </w:tblGrid>
      <w:tr w:rsidR="003A61D4" w14:paraId="06533801" w14:textId="77777777">
        <w:trPr>
          <w:trHeight w:val="278"/>
        </w:trPr>
        <w:tc>
          <w:tcPr>
            <w:tcW w:w="2599" w:type="dxa"/>
          </w:tcPr>
          <w:p w14:paraId="5F7D5690"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Borrower/Seller:</w:t>
            </w:r>
          </w:p>
        </w:tc>
        <w:tc>
          <w:tcPr>
            <w:tcW w:w="6628" w:type="dxa"/>
          </w:tcPr>
          <w:p w14:paraId="666EB358"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SPC to be established in the Republic of 000000(the </w:t>
            </w:r>
            <w:proofErr w:type="gramStart"/>
            <w:r>
              <w:rPr>
                <w:rFonts w:eastAsia="Times New Roman"/>
                <w:color w:val="000000"/>
                <w:sz w:val="22"/>
                <w:szCs w:val="22"/>
              </w:rPr>
              <w:t>“ Borrower</w:t>
            </w:r>
            <w:proofErr w:type="gramEnd"/>
            <w:r>
              <w:rPr>
                <w:rFonts w:eastAsia="Times New Roman"/>
                <w:color w:val="000000"/>
                <w:sz w:val="22"/>
                <w:szCs w:val="22"/>
              </w:rPr>
              <w:t>”)</w:t>
            </w:r>
          </w:p>
          <w:p w14:paraId="3FE3196D"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448C96E2" w14:textId="77777777">
        <w:trPr>
          <w:trHeight w:val="277"/>
        </w:trPr>
        <w:tc>
          <w:tcPr>
            <w:tcW w:w="2599" w:type="dxa"/>
          </w:tcPr>
          <w:p w14:paraId="419823D4"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Financial Advisor</w:t>
            </w:r>
          </w:p>
          <w:p w14:paraId="04A34EF7" w14:textId="77777777" w:rsidR="003A61D4" w:rsidRDefault="003A61D4">
            <w:pPr>
              <w:pBdr>
                <w:top w:val="nil"/>
                <w:left w:val="nil"/>
                <w:bottom w:val="nil"/>
                <w:right w:val="nil"/>
                <w:between w:val="nil"/>
              </w:pBdr>
              <w:jc w:val="both"/>
              <w:rPr>
                <w:color w:val="000000"/>
                <w:sz w:val="22"/>
                <w:szCs w:val="22"/>
              </w:rPr>
            </w:pPr>
          </w:p>
        </w:tc>
        <w:tc>
          <w:tcPr>
            <w:tcW w:w="6628" w:type="dxa"/>
          </w:tcPr>
          <w:p w14:paraId="08191022"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WOORI Bank</w:t>
            </w:r>
          </w:p>
        </w:tc>
      </w:tr>
      <w:tr w:rsidR="003A61D4" w14:paraId="38DA4C93" w14:textId="77777777">
        <w:tc>
          <w:tcPr>
            <w:tcW w:w="2599" w:type="dxa"/>
          </w:tcPr>
          <w:p w14:paraId="60852E39"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Arranger:</w:t>
            </w:r>
          </w:p>
        </w:tc>
        <w:tc>
          <w:tcPr>
            <w:tcW w:w="6628" w:type="dxa"/>
          </w:tcPr>
          <w:p w14:paraId="704B1D8A"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WOORI </w:t>
            </w:r>
            <w:proofErr w:type="gramStart"/>
            <w:r>
              <w:rPr>
                <w:rFonts w:eastAsia="Times New Roman"/>
                <w:color w:val="000000"/>
                <w:sz w:val="22"/>
                <w:szCs w:val="22"/>
              </w:rPr>
              <w:t>Bank(</w:t>
            </w:r>
            <w:proofErr w:type="gramEnd"/>
            <w:r>
              <w:rPr>
                <w:rFonts w:eastAsia="Times New Roman"/>
                <w:color w:val="000000"/>
                <w:sz w:val="22"/>
                <w:szCs w:val="22"/>
              </w:rPr>
              <w:t>the “Arranger”)</w:t>
            </w:r>
          </w:p>
          <w:p w14:paraId="0CB9395D"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4BF614D5" w14:textId="77777777">
        <w:trPr>
          <w:trHeight w:val="420"/>
        </w:trPr>
        <w:tc>
          <w:tcPr>
            <w:tcW w:w="2599" w:type="dxa"/>
          </w:tcPr>
          <w:p w14:paraId="29B86830"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Lenders:</w:t>
            </w:r>
          </w:p>
        </w:tc>
        <w:tc>
          <w:tcPr>
            <w:tcW w:w="6628" w:type="dxa"/>
          </w:tcPr>
          <w:p w14:paraId="2281C98A"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A group of international financial institutions to be selected by the </w:t>
            </w:r>
            <w:proofErr w:type="gramStart"/>
            <w:r>
              <w:rPr>
                <w:rFonts w:eastAsia="Times New Roman"/>
                <w:color w:val="000000"/>
                <w:sz w:val="22"/>
                <w:szCs w:val="22"/>
              </w:rPr>
              <w:t>Arranger</w:t>
            </w:r>
            <w:proofErr w:type="gramEnd"/>
          </w:p>
          <w:p w14:paraId="681D6D46"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D83C619" w14:textId="77777777">
        <w:trPr>
          <w:trHeight w:val="420"/>
        </w:trPr>
        <w:tc>
          <w:tcPr>
            <w:tcW w:w="2599" w:type="dxa"/>
          </w:tcPr>
          <w:p w14:paraId="3A8A19A1"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Sponsor:</w:t>
            </w:r>
          </w:p>
          <w:p w14:paraId="5F05FEB1" w14:textId="77777777" w:rsidR="003A61D4" w:rsidRDefault="003A61D4">
            <w:pPr>
              <w:pBdr>
                <w:top w:val="nil"/>
                <w:left w:val="nil"/>
                <w:bottom w:val="nil"/>
                <w:right w:val="nil"/>
                <w:between w:val="nil"/>
              </w:pBdr>
              <w:jc w:val="both"/>
              <w:rPr>
                <w:color w:val="000000"/>
                <w:sz w:val="22"/>
                <w:szCs w:val="22"/>
              </w:rPr>
            </w:pPr>
          </w:p>
        </w:tc>
        <w:tc>
          <w:tcPr>
            <w:tcW w:w="6628" w:type="dxa"/>
          </w:tcPr>
          <w:p w14:paraId="0408B7E7"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To be determined by the Construction Company</w:t>
            </w:r>
          </w:p>
        </w:tc>
      </w:tr>
      <w:tr w:rsidR="003A61D4" w14:paraId="0A84252A" w14:textId="77777777">
        <w:trPr>
          <w:trHeight w:val="185"/>
        </w:trPr>
        <w:tc>
          <w:tcPr>
            <w:tcW w:w="2599" w:type="dxa"/>
          </w:tcPr>
          <w:p w14:paraId="23539B3B"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Buyer:</w:t>
            </w:r>
          </w:p>
        </w:tc>
        <w:tc>
          <w:tcPr>
            <w:tcW w:w="6628" w:type="dxa"/>
          </w:tcPr>
          <w:p w14:paraId="5976DA5C"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000 Joint Stock </w:t>
            </w:r>
            <w:proofErr w:type="gramStart"/>
            <w:r>
              <w:rPr>
                <w:rFonts w:eastAsia="Times New Roman"/>
                <w:color w:val="000000"/>
                <w:sz w:val="22"/>
                <w:szCs w:val="22"/>
              </w:rPr>
              <w:t>Company(</w:t>
            </w:r>
            <w:proofErr w:type="gramEnd"/>
            <w:r>
              <w:rPr>
                <w:rFonts w:eastAsia="Times New Roman"/>
                <w:color w:val="000000"/>
                <w:sz w:val="22"/>
                <w:szCs w:val="22"/>
              </w:rPr>
              <w:t>the “Sponsor”)</w:t>
            </w:r>
          </w:p>
          <w:p w14:paraId="3FA3D08A"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65CD0221" w14:textId="77777777">
        <w:trPr>
          <w:trHeight w:val="185"/>
        </w:trPr>
        <w:tc>
          <w:tcPr>
            <w:tcW w:w="2599" w:type="dxa"/>
          </w:tcPr>
          <w:p w14:paraId="0A92665F"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Guarantor:</w:t>
            </w:r>
          </w:p>
          <w:p w14:paraId="2D6E0123" w14:textId="77777777" w:rsidR="003A61D4" w:rsidRDefault="003A61D4">
            <w:pPr>
              <w:pBdr>
                <w:top w:val="nil"/>
                <w:left w:val="nil"/>
                <w:bottom w:val="nil"/>
                <w:right w:val="nil"/>
                <w:between w:val="nil"/>
              </w:pBdr>
              <w:jc w:val="both"/>
              <w:rPr>
                <w:color w:val="000000"/>
                <w:sz w:val="22"/>
                <w:szCs w:val="22"/>
              </w:rPr>
            </w:pPr>
          </w:p>
        </w:tc>
        <w:tc>
          <w:tcPr>
            <w:tcW w:w="6628" w:type="dxa"/>
          </w:tcPr>
          <w:p w14:paraId="702E5F26"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The Government of the Republic of 000000(the “Guarantor”). The Guarantor shall irrevocably and unconditionally guarantee (with standard terms and conditions and other provisions customarily found in completion guarantees for similar financings and as appropriate for the Facility) repayment of all outstanding amounts due under the Facility </w:t>
            </w:r>
            <w:r>
              <w:rPr>
                <w:rFonts w:eastAsia="Times New Roman"/>
                <w:color w:val="000000"/>
                <w:sz w:val="22"/>
                <w:szCs w:val="22"/>
              </w:rPr>
              <w:lastRenderedPageBreak/>
              <w:t>(defined hereunder) to the Lenders and guarantee the performance of the Borrower under the Facility.</w:t>
            </w:r>
          </w:p>
          <w:p w14:paraId="3E0520ED"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600A4C4C" w14:textId="77777777">
        <w:trPr>
          <w:trHeight w:val="697"/>
        </w:trPr>
        <w:tc>
          <w:tcPr>
            <w:tcW w:w="2599" w:type="dxa"/>
          </w:tcPr>
          <w:p w14:paraId="04D7AA9F"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lastRenderedPageBreak/>
              <w:t>Agent:</w:t>
            </w:r>
          </w:p>
        </w:tc>
        <w:tc>
          <w:tcPr>
            <w:tcW w:w="6628" w:type="dxa"/>
          </w:tcPr>
          <w:p w14:paraId="60B94830"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WOORI Bank or to be determined later by the </w:t>
            </w:r>
            <w:proofErr w:type="gramStart"/>
            <w:r>
              <w:rPr>
                <w:rFonts w:eastAsia="Times New Roman"/>
                <w:color w:val="000000"/>
                <w:sz w:val="22"/>
                <w:szCs w:val="22"/>
              </w:rPr>
              <w:t>Arranger</w:t>
            </w:r>
            <w:proofErr w:type="gramEnd"/>
          </w:p>
          <w:p w14:paraId="3F133CA5"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16FB3D0B" w14:textId="77777777">
        <w:trPr>
          <w:trHeight w:val="1118"/>
        </w:trPr>
        <w:tc>
          <w:tcPr>
            <w:tcW w:w="2599" w:type="dxa"/>
          </w:tcPr>
          <w:p w14:paraId="061DEEF5"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EPC Contractor</w:t>
            </w:r>
          </w:p>
        </w:tc>
        <w:tc>
          <w:tcPr>
            <w:tcW w:w="6628" w:type="dxa"/>
          </w:tcPr>
          <w:p w14:paraId="4564DD5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The Borrower must have EPC Contract with professional construction company (the “Construction Company”) acceptable to the Agent and the Lenders. The Construction Company shall be contracted for the engineering, procurement and construction for the Project. The EPC Contract includes all usual and customary terms and conditions for similar transactions. Terms and conditions of the EPC Contract must be acceptable to the Agent and the Lenders.</w:t>
            </w:r>
          </w:p>
          <w:p w14:paraId="498BE5C9"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B905DC5" w14:textId="77777777">
        <w:trPr>
          <w:trHeight w:val="1117"/>
        </w:trPr>
        <w:tc>
          <w:tcPr>
            <w:tcW w:w="2599" w:type="dxa"/>
          </w:tcPr>
          <w:p w14:paraId="3F618D7D"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 xml:space="preserve">Completion </w:t>
            </w:r>
            <w:proofErr w:type="spellStart"/>
            <w:r>
              <w:rPr>
                <w:rFonts w:eastAsia="Times New Roman"/>
                <w:b/>
                <w:color w:val="000000"/>
                <w:sz w:val="22"/>
                <w:szCs w:val="22"/>
              </w:rPr>
              <w:t>Guarator</w:t>
            </w:r>
            <w:proofErr w:type="spellEnd"/>
          </w:p>
        </w:tc>
        <w:tc>
          <w:tcPr>
            <w:tcW w:w="6628" w:type="dxa"/>
          </w:tcPr>
          <w:p w14:paraId="1C7DBA9F"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The Construction Company shall issue completion </w:t>
            </w:r>
            <w:proofErr w:type="gramStart"/>
            <w:r>
              <w:rPr>
                <w:rFonts w:eastAsia="Times New Roman"/>
                <w:color w:val="000000"/>
                <w:sz w:val="22"/>
                <w:szCs w:val="22"/>
              </w:rPr>
              <w:t>guarantee(</w:t>
            </w:r>
            <w:proofErr w:type="gramEnd"/>
            <w:r>
              <w:rPr>
                <w:rFonts w:eastAsia="Times New Roman"/>
                <w:color w:val="000000"/>
                <w:sz w:val="22"/>
                <w:szCs w:val="22"/>
              </w:rPr>
              <w:t>the “Completion Guarantee”) (with standard terms and conditions and other provisions customarily found in completion guarantees for similar financings and as appropriate for the Facility) issued by the Construction Company for the Project. The terms and conditions of the Completion Guarantee must be acceptable to the Agent and the Lenders.</w:t>
            </w:r>
          </w:p>
          <w:p w14:paraId="1E6D20CF"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BB38407" w14:textId="77777777">
        <w:trPr>
          <w:trHeight w:val="277"/>
        </w:trPr>
        <w:tc>
          <w:tcPr>
            <w:tcW w:w="2599" w:type="dxa"/>
          </w:tcPr>
          <w:p w14:paraId="4C6A2DBA"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Project:</w:t>
            </w:r>
          </w:p>
        </w:tc>
        <w:tc>
          <w:tcPr>
            <w:tcW w:w="6628" w:type="dxa"/>
          </w:tcPr>
          <w:p w14:paraId="20690646"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Build-transfer type project (the “Project”) to construct two 500 MW size new 000 located in Ali Bayramli, the Republic of 000000 (the “Property”). The Project cost is estimated to be US$620 million and the Construction Company and/or the Buyer shall invest, in equity, at least 20% of the total estimated project cost. The equity shall be repaid only after full repayment of the Facility and Dividend payment shall be made only after full repayment of the Facility. Borrower will transfer all its rights to the Buyer when the construction is completed and shall receive periodic payments from the Buyer in accordance with the terms and conditions of the transfer agreement, which will be made between the Borrower and the Buyer. Terms and conditions of the transfer agreement must be acceptable to the Agent and the Lenders, and the periodic payment must exceed the amount necessary for the payment of principal and interest related to the Facility.</w:t>
            </w:r>
          </w:p>
          <w:p w14:paraId="78226CC4"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11C2DBAF" w14:textId="77777777">
        <w:tc>
          <w:tcPr>
            <w:tcW w:w="2599" w:type="dxa"/>
          </w:tcPr>
          <w:p w14:paraId="10DCDEE2"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Purpose of Facility:</w:t>
            </w:r>
          </w:p>
        </w:tc>
        <w:tc>
          <w:tcPr>
            <w:tcW w:w="6628" w:type="dxa"/>
          </w:tcPr>
          <w:p w14:paraId="045F2B8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To provide funds to construct the Property described above.</w:t>
            </w:r>
          </w:p>
          <w:p w14:paraId="52152F42"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E249CA5" w14:textId="77777777">
        <w:tc>
          <w:tcPr>
            <w:tcW w:w="2599" w:type="dxa"/>
          </w:tcPr>
          <w:p w14:paraId="7B7280D8"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lastRenderedPageBreak/>
              <w:t>Facility:</w:t>
            </w:r>
          </w:p>
        </w:tc>
        <w:tc>
          <w:tcPr>
            <w:tcW w:w="6628" w:type="dxa"/>
          </w:tcPr>
          <w:p w14:paraId="72C5C81D"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Transferable Term Loan Facility (the “facility”)</w:t>
            </w:r>
          </w:p>
          <w:p w14:paraId="289B053C"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4574F5BC" w14:textId="77777777">
        <w:tc>
          <w:tcPr>
            <w:tcW w:w="2599" w:type="dxa"/>
          </w:tcPr>
          <w:p w14:paraId="3D9A5B94"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Total Facility Amount:</w:t>
            </w:r>
          </w:p>
        </w:tc>
        <w:tc>
          <w:tcPr>
            <w:tcW w:w="6628" w:type="dxa"/>
          </w:tcPr>
          <w:p w14:paraId="65B81D59"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Up to total project cost less at least 20% of equity invested by the Construction Company and/or the Buyer.</w:t>
            </w:r>
          </w:p>
          <w:p w14:paraId="634ABE57"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34FDBB49" w14:textId="77777777">
        <w:tc>
          <w:tcPr>
            <w:tcW w:w="2599" w:type="dxa"/>
          </w:tcPr>
          <w:p w14:paraId="3303F6E1"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Final Maturity Date:</w:t>
            </w:r>
          </w:p>
        </w:tc>
        <w:tc>
          <w:tcPr>
            <w:tcW w:w="6628" w:type="dxa"/>
          </w:tcPr>
          <w:p w14:paraId="3A22D773"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[Fifteen (15</w:t>
            </w:r>
            <w:proofErr w:type="gramStart"/>
            <w:r>
              <w:rPr>
                <w:rFonts w:eastAsia="Times New Roman"/>
                <w:color w:val="000000"/>
                <w:sz w:val="22"/>
                <w:szCs w:val="22"/>
              </w:rPr>
              <w:t>)]years</w:t>
            </w:r>
            <w:proofErr w:type="gramEnd"/>
            <w:r>
              <w:rPr>
                <w:rFonts w:eastAsia="Times New Roman"/>
                <w:color w:val="000000"/>
                <w:sz w:val="22"/>
                <w:szCs w:val="22"/>
              </w:rPr>
              <w:t xml:space="preserve"> from the date of  first drawdown date</w:t>
            </w:r>
          </w:p>
          <w:p w14:paraId="65B03C14"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3AEFBF6" w14:textId="77777777">
        <w:tc>
          <w:tcPr>
            <w:tcW w:w="2599" w:type="dxa"/>
          </w:tcPr>
          <w:p w14:paraId="0506A834"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Drawdown:</w:t>
            </w:r>
          </w:p>
        </w:tc>
        <w:tc>
          <w:tcPr>
            <w:tcW w:w="6628" w:type="dxa"/>
          </w:tcPr>
          <w:p w14:paraId="6B6F8DB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Subject to at least five (5) Business Days’ prior written notice, satisfactory </w:t>
            </w:r>
            <w:proofErr w:type="gramStart"/>
            <w:r>
              <w:rPr>
                <w:rFonts w:eastAsia="Times New Roman"/>
                <w:color w:val="000000"/>
                <w:sz w:val="22"/>
                <w:szCs w:val="22"/>
              </w:rPr>
              <w:t>evidences</w:t>
            </w:r>
            <w:proofErr w:type="gramEnd"/>
            <w:r>
              <w:rPr>
                <w:rFonts w:eastAsia="Times New Roman"/>
                <w:color w:val="000000"/>
                <w:sz w:val="22"/>
                <w:szCs w:val="22"/>
              </w:rPr>
              <w:t xml:space="preserve"> for the utilization of the Facility, and the fulfillment of all conditions precedent, the Facility will be available for drawdown, such date being the “Drawdown Date”. The drawdown will be subject to the percentage of completion and balance of the Special Account. The Agent on behalf of the Borrower will make the payment directly to the Construction Company. The Progress Report defined below will be the basis to calculate the percentage of completion for the drawdown. The percentage of aggregate drawdown over the Total Facility Amount shall not exceed the percentage of completion. The Borrower must maintain the Special Account Balance no less than 120% of the outstanding balance of the Facility.</w:t>
            </w:r>
          </w:p>
          <w:p w14:paraId="319C4926"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1BADF66F" w14:textId="77777777">
        <w:trPr>
          <w:trHeight w:val="1124"/>
        </w:trPr>
        <w:tc>
          <w:tcPr>
            <w:tcW w:w="2599" w:type="dxa"/>
          </w:tcPr>
          <w:p w14:paraId="7B04FF4E"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Initial Drawdown Date:</w:t>
            </w:r>
          </w:p>
        </w:tc>
        <w:tc>
          <w:tcPr>
            <w:tcW w:w="6628" w:type="dxa"/>
          </w:tcPr>
          <w:p w14:paraId="09C3459B"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The date on which the portion of the Facility will be drawn initially. The Initial Drawdown Date shall be no later than [           </w:t>
            </w:r>
            <w:proofErr w:type="gramStart"/>
            <w:r>
              <w:rPr>
                <w:rFonts w:eastAsia="Times New Roman"/>
                <w:color w:val="000000"/>
                <w:sz w:val="22"/>
                <w:szCs w:val="22"/>
              </w:rPr>
              <w:t xml:space="preserve">  ]</w:t>
            </w:r>
            <w:proofErr w:type="gramEnd"/>
            <w:r>
              <w:rPr>
                <w:rFonts w:eastAsia="Times New Roman"/>
                <w:color w:val="000000"/>
                <w:sz w:val="22"/>
                <w:szCs w:val="22"/>
              </w:rPr>
              <w:t>.</w:t>
            </w:r>
          </w:p>
          <w:p w14:paraId="2351FEF0"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0DD0B6A5" w14:textId="77777777">
        <w:trPr>
          <w:trHeight w:val="736"/>
        </w:trPr>
        <w:tc>
          <w:tcPr>
            <w:tcW w:w="2599" w:type="dxa"/>
          </w:tcPr>
          <w:p w14:paraId="7BD3D178"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Closing Date</w:t>
            </w:r>
          </w:p>
        </w:tc>
        <w:tc>
          <w:tcPr>
            <w:tcW w:w="6628" w:type="dxa"/>
          </w:tcPr>
          <w:p w14:paraId="0817DDEF"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The date on which the loan documentation is to be signed (expected to be on or before the end of [        </w:t>
            </w:r>
            <w:proofErr w:type="gramStart"/>
            <w:r>
              <w:rPr>
                <w:rFonts w:eastAsia="Times New Roman"/>
                <w:color w:val="000000"/>
                <w:sz w:val="22"/>
                <w:szCs w:val="22"/>
              </w:rPr>
              <w:t xml:space="preserve">  ]</w:t>
            </w:r>
            <w:proofErr w:type="gramEnd"/>
            <w:r>
              <w:rPr>
                <w:rFonts w:eastAsia="Times New Roman"/>
                <w:color w:val="000000"/>
                <w:sz w:val="22"/>
                <w:szCs w:val="22"/>
              </w:rPr>
              <w:t xml:space="preserve"> )</w:t>
            </w:r>
          </w:p>
          <w:p w14:paraId="16A9DEB0"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3F563396" w14:textId="77777777">
        <w:trPr>
          <w:trHeight w:val="563"/>
        </w:trPr>
        <w:tc>
          <w:tcPr>
            <w:tcW w:w="2599" w:type="dxa"/>
          </w:tcPr>
          <w:p w14:paraId="1AFB8DF8"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Availability Period:</w:t>
            </w:r>
          </w:p>
        </w:tc>
        <w:tc>
          <w:tcPr>
            <w:tcW w:w="6628" w:type="dxa"/>
          </w:tcPr>
          <w:p w14:paraId="3F82152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The Facility will be available for drawdown commencing on the Closing Date and ending on the earlier of (</w:t>
            </w:r>
            <w:proofErr w:type="spellStart"/>
            <w:r>
              <w:rPr>
                <w:rFonts w:eastAsia="Times New Roman"/>
                <w:color w:val="000000"/>
                <w:sz w:val="22"/>
                <w:szCs w:val="22"/>
              </w:rPr>
              <w:t>i</w:t>
            </w:r>
            <w:proofErr w:type="spellEnd"/>
            <w:r>
              <w:rPr>
                <w:rFonts w:eastAsia="Times New Roman"/>
                <w:color w:val="000000"/>
                <w:sz w:val="22"/>
                <w:szCs w:val="22"/>
              </w:rPr>
              <w:t>) [date], or (ii) the date of the completion of construction, whichever comes earlier.</w:t>
            </w:r>
          </w:p>
          <w:p w14:paraId="7C72132A"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07C639FA" w14:textId="77777777">
        <w:trPr>
          <w:trHeight w:val="562"/>
        </w:trPr>
        <w:tc>
          <w:tcPr>
            <w:tcW w:w="2599" w:type="dxa"/>
          </w:tcPr>
          <w:p w14:paraId="6905C8BF"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Grace Period:</w:t>
            </w:r>
          </w:p>
        </w:tc>
        <w:tc>
          <w:tcPr>
            <w:tcW w:w="6628" w:type="dxa"/>
          </w:tcPr>
          <w:p w14:paraId="1DF33DA0"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[Three (3)] years from the initial drawdown or until completion of construction, whichever comes earlier.</w:t>
            </w:r>
          </w:p>
          <w:p w14:paraId="178FEEBB"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66AE173" w14:textId="77777777">
        <w:tc>
          <w:tcPr>
            <w:tcW w:w="2599" w:type="dxa"/>
          </w:tcPr>
          <w:p w14:paraId="5AAAEE95"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Repayment:</w:t>
            </w:r>
          </w:p>
        </w:tc>
        <w:tc>
          <w:tcPr>
            <w:tcW w:w="6628" w:type="dxa"/>
          </w:tcPr>
          <w:p w14:paraId="6A8F9DE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The Facility shall be repaid in twenty-four (24) equal installments. Payments will be made semi-annually beginning from the end of the Grace Period.</w:t>
            </w:r>
          </w:p>
          <w:p w14:paraId="22A95D3E"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275ABEF5" w14:textId="77777777">
        <w:trPr>
          <w:trHeight w:val="1118"/>
        </w:trPr>
        <w:tc>
          <w:tcPr>
            <w:tcW w:w="2599" w:type="dxa"/>
          </w:tcPr>
          <w:p w14:paraId="5D57CF05"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lastRenderedPageBreak/>
              <w:t>Prepayment:</w:t>
            </w:r>
          </w:p>
        </w:tc>
        <w:tc>
          <w:tcPr>
            <w:tcW w:w="6628" w:type="dxa"/>
          </w:tcPr>
          <w:p w14:paraId="0CADCF48"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Prepayment of the Facility may be made with a 0.50% Prepayment Charge by the Borrower in a </w:t>
            </w:r>
            <w:proofErr w:type="gramStart"/>
            <w:r>
              <w:rPr>
                <w:rFonts w:eastAsia="Times New Roman"/>
                <w:color w:val="000000"/>
                <w:sz w:val="22"/>
                <w:szCs w:val="22"/>
              </w:rPr>
              <w:t>minimum amounts of US</w:t>
            </w:r>
            <w:proofErr w:type="gramEnd"/>
            <w:r>
              <w:rPr>
                <w:rFonts w:eastAsia="Times New Roman"/>
                <w:color w:val="000000"/>
                <w:sz w:val="22"/>
                <w:szCs w:val="22"/>
              </w:rPr>
              <w:t>$[10 million] and higher multiples of US[$5million], provided that a written notice, not earlier than 30 days but not later than 10 days prior to the Prepayment Date on which the prepayment shall be made, has been given to the Agent.  Any written notice of prepayment by the Borrower shall be irrevocable. Prepaid amounts may not subsequently be re-borrowed.</w:t>
            </w:r>
          </w:p>
          <w:p w14:paraId="02F5B62E"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64A3C67D" w14:textId="77777777">
        <w:trPr>
          <w:trHeight w:val="328"/>
        </w:trPr>
        <w:tc>
          <w:tcPr>
            <w:tcW w:w="2599" w:type="dxa"/>
          </w:tcPr>
          <w:p w14:paraId="5F5C71FB"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Arrangement Fee</w:t>
            </w:r>
          </w:p>
        </w:tc>
        <w:tc>
          <w:tcPr>
            <w:tcW w:w="6628" w:type="dxa"/>
          </w:tcPr>
          <w:p w14:paraId="788D84C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US$20,000,000 flat.</w:t>
            </w:r>
          </w:p>
          <w:p w14:paraId="682B6A8E"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1ADA2E40" w14:textId="77777777">
        <w:trPr>
          <w:trHeight w:val="677"/>
        </w:trPr>
        <w:tc>
          <w:tcPr>
            <w:tcW w:w="2599" w:type="dxa"/>
          </w:tcPr>
          <w:p w14:paraId="7A02A1BE"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Interest Margin:</w:t>
            </w:r>
          </w:p>
        </w:tc>
        <w:tc>
          <w:tcPr>
            <w:tcW w:w="6628" w:type="dxa"/>
          </w:tcPr>
          <w:p w14:paraId="5203EB49" w14:textId="77777777" w:rsidR="003A61D4" w:rsidRDefault="00000000">
            <w:pPr>
              <w:keepNext/>
              <w:pBdr>
                <w:top w:val="nil"/>
                <w:left w:val="nil"/>
                <w:bottom w:val="nil"/>
                <w:right w:val="nil"/>
                <w:between w:val="nil"/>
              </w:pBdr>
              <w:jc w:val="both"/>
              <w:rPr>
                <w:color w:val="000000"/>
                <w:sz w:val="22"/>
                <w:szCs w:val="22"/>
              </w:rPr>
            </w:pPr>
            <w:r>
              <w:rPr>
                <w:rFonts w:eastAsia="Times New Roman"/>
                <w:color w:val="000000"/>
                <w:sz w:val="22"/>
                <w:szCs w:val="22"/>
              </w:rPr>
              <w:t xml:space="preserve">US$ 6-month LIBOR + 0.50 % p.a. </w:t>
            </w:r>
          </w:p>
          <w:p w14:paraId="7B6633B2" w14:textId="77777777" w:rsidR="003A61D4" w:rsidRDefault="003A61D4">
            <w:pPr>
              <w:pBdr>
                <w:top w:val="nil"/>
                <w:left w:val="nil"/>
                <w:bottom w:val="nil"/>
                <w:right w:val="nil"/>
                <w:between w:val="nil"/>
              </w:pBdr>
              <w:jc w:val="both"/>
              <w:rPr>
                <w:color w:val="000000"/>
              </w:rPr>
            </w:pPr>
          </w:p>
        </w:tc>
      </w:tr>
      <w:tr w:rsidR="003A61D4" w14:paraId="6063678B" w14:textId="77777777">
        <w:tc>
          <w:tcPr>
            <w:tcW w:w="2599" w:type="dxa"/>
          </w:tcPr>
          <w:p w14:paraId="3F2D0705"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Interest Period:</w:t>
            </w:r>
          </w:p>
        </w:tc>
        <w:tc>
          <w:tcPr>
            <w:tcW w:w="6628" w:type="dxa"/>
          </w:tcPr>
          <w:p w14:paraId="3D732661" w14:textId="77777777" w:rsidR="003A61D4" w:rsidRDefault="00000000">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color w:val="000000"/>
                <w:sz w:val="22"/>
                <w:szCs w:val="22"/>
              </w:rPr>
            </w:pPr>
            <w:r>
              <w:rPr>
                <w:rFonts w:eastAsia="Times New Roman"/>
                <w:color w:val="000000"/>
                <w:sz w:val="22"/>
                <w:szCs w:val="22"/>
              </w:rPr>
              <w:t xml:space="preserve">Six (6) months, commencing from the Initial Drawdown Date. </w:t>
            </w:r>
          </w:p>
          <w:p w14:paraId="05942FBC" w14:textId="77777777" w:rsidR="003A61D4" w:rsidRDefault="00000000">
            <w:pPr>
              <w:keepNext/>
              <w:pBdr>
                <w:top w:val="nil"/>
                <w:left w:val="nil"/>
                <w:bottom w:val="nil"/>
                <w:right w:val="nil"/>
                <w:between w:val="nil"/>
              </w:pBdr>
              <w:jc w:val="both"/>
              <w:rPr>
                <w:color w:val="000000"/>
                <w:sz w:val="22"/>
                <w:szCs w:val="22"/>
              </w:rPr>
            </w:pPr>
            <w:r>
              <w:rPr>
                <w:rFonts w:eastAsia="Times New Roman"/>
                <w:color w:val="000000"/>
                <w:sz w:val="22"/>
                <w:szCs w:val="22"/>
              </w:rPr>
              <w:t xml:space="preserve">In relation to each Drawdown after the initial Drawdown Date, the first Interest Period shall end on the last day of the then current Interest Period in respect of the Initial Drawdown. </w:t>
            </w:r>
          </w:p>
          <w:p w14:paraId="20F7E044" w14:textId="77777777" w:rsidR="003A61D4" w:rsidRDefault="003A61D4">
            <w:pPr>
              <w:pBdr>
                <w:top w:val="nil"/>
                <w:left w:val="nil"/>
                <w:bottom w:val="nil"/>
                <w:right w:val="nil"/>
                <w:between w:val="nil"/>
              </w:pBdr>
              <w:jc w:val="both"/>
              <w:rPr>
                <w:color w:val="000000"/>
              </w:rPr>
            </w:pPr>
          </w:p>
        </w:tc>
      </w:tr>
      <w:tr w:rsidR="003A61D4" w14:paraId="671A906B" w14:textId="77777777">
        <w:tc>
          <w:tcPr>
            <w:tcW w:w="2599" w:type="dxa"/>
          </w:tcPr>
          <w:p w14:paraId="60882D57"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Interest Payment:</w:t>
            </w:r>
          </w:p>
        </w:tc>
        <w:tc>
          <w:tcPr>
            <w:tcW w:w="6628" w:type="dxa"/>
          </w:tcPr>
          <w:p w14:paraId="63404762" w14:textId="77777777" w:rsidR="003A61D4" w:rsidRDefault="00000000">
            <w:pPr>
              <w:keepNext/>
              <w:pBdr>
                <w:top w:val="nil"/>
                <w:left w:val="nil"/>
                <w:bottom w:val="nil"/>
                <w:right w:val="nil"/>
                <w:between w:val="nil"/>
              </w:pBdr>
              <w:jc w:val="both"/>
              <w:rPr>
                <w:color w:val="000000"/>
                <w:sz w:val="22"/>
                <w:szCs w:val="22"/>
              </w:rPr>
            </w:pPr>
            <w:r>
              <w:rPr>
                <w:rFonts w:eastAsia="Times New Roman"/>
                <w:color w:val="000000"/>
                <w:sz w:val="22"/>
                <w:szCs w:val="22"/>
              </w:rPr>
              <w:t>Interest shall be payable in arrears at the end of each interest period calculated based on the actual number of days elapsed in a 360-day year.</w:t>
            </w:r>
          </w:p>
          <w:p w14:paraId="33FF6035" w14:textId="77777777" w:rsidR="003A61D4" w:rsidRDefault="003A61D4">
            <w:pPr>
              <w:pBdr>
                <w:top w:val="nil"/>
                <w:left w:val="nil"/>
                <w:bottom w:val="nil"/>
                <w:right w:val="nil"/>
                <w:between w:val="nil"/>
              </w:pBdr>
              <w:jc w:val="both"/>
              <w:rPr>
                <w:color w:val="000000"/>
              </w:rPr>
            </w:pPr>
          </w:p>
        </w:tc>
      </w:tr>
      <w:tr w:rsidR="003A61D4" w14:paraId="7F453164" w14:textId="77777777">
        <w:tc>
          <w:tcPr>
            <w:tcW w:w="2599" w:type="dxa"/>
          </w:tcPr>
          <w:p w14:paraId="0123376F"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LIBOR:</w:t>
            </w:r>
          </w:p>
        </w:tc>
        <w:tc>
          <w:tcPr>
            <w:tcW w:w="6628" w:type="dxa"/>
          </w:tcPr>
          <w:p w14:paraId="3F1259A4" w14:textId="77777777" w:rsidR="003A61D4" w:rsidRDefault="00000000">
            <w:pPr>
              <w:keepNext/>
              <w:pBdr>
                <w:top w:val="nil"/>
                <w:left w:val="nil"/>
                <w:bottom w:val="nil"/>
                <w:right w:val="nil"/>
                <w:between w:val="nil"/>
              </w:pBdr>
              <w:jc w:val="both"/>
              <w:rPr>
                <w:color w:val="000000"/>
                <w:sz w:val="22"/>
                <w:szCs w:val="22"/>
              </w:rPr>
            </w:pPr>
            <w:proofErr w:type="spellStart"/>
            <w:r>
              <w:rPr>
                <w:rFonts w:eastAsia="Times New Roman"/>
                <w:color w:val="000000"/>
                <w:sz w:val="22"/>
                <w:szCs w:val="22"/>
              </w:rPr>
              <w:t>Moneyline</w:t>
            </w:r>
            <w:proofErr w:type="spellEnd"/>
            <w:r>
              <w:rPr>
                <w:rFonts w:eastAsia="Times New Roman"/>
                <w:color w:val="000000"/>
                <w:sz w:val="22"/>
                <w:szCs w:val="22"/>
              </w:rPr>
              <w:t xml:space="preserve"> Telerate Page 3750 at or around 11:00 a.m. (London time) two (2) London business days prior to the beginning of each Interest Period</w:t>
            </w:r>
          </w:p>
          <w:p w14:paraId="3E05CAE3" w14:textId="77777777" w:rsidR="003A61D4" w:rsidRDefault="003A61D4">
            <w:pPr>
              <w:pBdr>
                <w:top w:val="nil"/>
                <w:left w:val="nil"/>
                <w:bottom w:val="nil"/>
                <w:right w:val="nil"/>
                <w:between w:val="nil"/>
              </w:pBdr>
              <w:jc w:val="both"/>
              <w:rPr>
                <w:color w:val="000000"/>
              </w:rPr>
            </w:pPr>
          </w:p>
        </w:tc>
      </w:tr>
      <w:tr w:rsidR="003A61D4" w14:paraId="2CBC2FD7" w14:textId="77777777">
        <w:trPr>
          <w:trHeight w:val="818"/>
        </w:trPr>
        <w:tc>
          <w:tcPr>
            <w:tcW w:w="2599" w:type="dxa"/>
          </w:tcPr>
          <w:p w14:paraId="1C84BBBF"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Feasibility Study:</w:t>
            </w:r>
          </w:p>
        </w:tc>
        <w:tc>
          <w:tcPr>
            <w:tcW w:w="6628" w:type="dxa"/>
          </w:tcPr>
          <w:p w14:paraId="2B234FF3"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Prior to the execution of Financing Agreements, the Arranger and the Lenders, in consultation with the Borrower, have the right to appoint a reputable international agency, specialized in evaluating business related to power sector, to exercise feasibility study about the business. </w:t>
            </w:r>
          </w:p>
          <w:p w14:paraId="04BEF4A6" w14:textId="77777777" w:rsidR="003A61D4" w:rsidRDefault="003A61D4">
            <w:pPr>
              <w:pBdr>
                <w:top w:val="nil"/>
                <w:left w:val="nil"/>
                <w:bottom w:val="nil"/>
                <w:right w:val="nil"/>
                <w:between w:val="nil"/>
              </w:pBdr>
              <w:rPr>
                <w:color w:val="000000"/>
              </w:rPr>
            </w:pPr>
          </w:p>
        </w:tc>
      </w:tr>
      <w:tr w:rsidR="003A61D4" w14:paraId="3ED623DE" w14:textId="77777777">
        <w:trPr>
          <w:trHeight w:val="983"/>
        </w:trPr>
        <w:tc>
          <w:tcPr>
            <w:tcW w:w="2599" w:type="dxa"/>
          </w:tcPr>
          <w:p w14:paraId="4A841309"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Progress Report:</w:t>
            </w:r>
          </w:p>
        </w:tc>
        <w:tc>
          <w:tcPr>
            <w:tcW w:w="6628" w:type="dxa"/>
          </w:tcPr>
          <w:p w14:paraId="47DB287F"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Commencing on [ </w:t>
            </w:r>
            <w:proofErr w:type="gramStart"/>
            <w:r>
              <w:rPr>
                <w:rFonts w:eastAsia="Times New Roman"/>
                <w:color w:val="000000"/>
                <w:sz w:val="22"/>
                <w:szCs w:val="22"/>
              </w:rPr>
              <w:t>date ]</w:t>
            </w:r>
            <w:proofErr w:type="gramEnd"/>
            <w:r>
              <w:rPr>
                <w:rFonts w:eastAsia="Times New Roman"/>
                <w:color w:val="000000"/>
                <w:sz w:val="22"/>
                <w:szCs w:val="22"/>
              </w:rPr>
              <w:t xml:space="preserve"> and continuing during implementation of the Project, a report(the “Progress Report”) on the implementation and progress of the Project made by independent, reputable agency specialized in evaluating this type of project, which acceptable to the Agent and Lenders, shall be provided to the Arranger at least semi-annually or upon request by the Agent.</w:t>
            </w:r>
          </w:p>
          <w:p w14:paraId="3DAD5D03" w14:textId="77777777" w:rsidR="003A61D4" w:rsidRDefault="003A61D4">
            <w:pPr>
              <w:pBdr>
                <w:top w:val="nil"/>
                <w:left w:val="nil"/>
                <w:bottom w:val="nil"/>
                <w:right w:val="nil"/>
                <w:between w:val="nil"/>
              </w:pBdr>
              <w:jc w:val="both"/>
              <w:rPr>
                <w:color w:val="000000"/>
                <w:sz w:val="22"/>
                <w:szCs w:val="22"/>
              </w:rPr>
            </w:pPr>
          </w:p>
        </w:tc>
      </w:tr>
      <w:tr w:rsidR="003A61D4" w14:paraId="658B72A2" w14:textId="77777777">
        <w:trPr>
          <w:trHeight w:val="982"/>
        </w:trPr>
        <w:tc>
          <w:tcPr>
            <w:tcW w:w="2599" w:type="dxa"/>
          </w:tcPr>
          <w:p w14:paraId="382AC514"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Special Account</w:t>
            </w:r>
          </w:p>
        </w:tc>
        <w:tc>
          <w:tcPr>
            <w:tcW w:w="6628" w:type="dxa"/>
          </w:tcPr>
          <w:p w14:paraId="5BD76A67"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The borrower shall open a Special Account in credible financial institution acceptable to the Agent. The borrower shall maintain minimum account balance of 130% of the outstanding balance of the Facility. The Agent shall enter account </w:t>
            </w:r>
            <w:proofErr w:type="spellStart"/>
            <w:r>
              <w:rPr>
                <w:rFonts w:eastAsia="Times New Roman"/>
                <w:color w:val="000000"/>
                <w:sz w:val="22"/>
                <w:szCs w:val="22"/>
              </w:rPr>
              <w:t>managemet</w:t>
            </w:r>
            <w:proofErr w:type="spellEnd"/>
            <w:r>
              <w:rPr>
                <w:rFonts w:eastAsia="Times New Roman"/>
                <w:color w:val="000000"/>
                <w:sz w:val="22"/>
                <w:szCs w:val="22"/>
              </w:rPr>
              <w:t xml:space="preserve"> contract with the financial institution.</w:t>
            </w:r>
          </w:p>
          <w:p w14:paraId="7219DEF6" w14:textId="77777777" w:rsidR="003A61D4" w:rsidRDefault="003A61D4">
            <w:pPr>
              <w:pBdr>
                <w:top w:val="nil"/>
                <w:left w:val="nil"/>
                <w:bottom w:val="nil"/>
                <w:right w:val="nil"/>
                <w:between w:val="nil"/>
              </w:pBdr>
              <w:jc w:val="both"/>
              <w:rPr>
                <w:color w:val="000000"/>
                <w:sz w:val="22"/>
                <w:szCs w:val="22"/>
              </w:rPr>
            </w:pPr>
          </w:p>
        </w:tc>
      </w:tr>
      <w:tr w:rsidR="003A61D4" w14:paraId="1E3A1DEB" w14:textId="77777777">
        <w:trPr>
          <w:trHeight w:val="1958"/>
        </w:trPr>
        <w:tc>
          <w:tcPr>
            <w:tcW w:w="2599" w:type="dxa"/>
          </w:tcPr>
          <w:p w14:paraId="31B9A704"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lastRenderedPageBreak/>
              <w:t>Securities:</w:t>
            </w:r>
          </w:p>
        </w:tc>
        <w:tc>
          <w:tcPr>
            <w:tcW w:w="6628" w:type="dxa"/>
          </w:tcPr>
          <w:p w14:paraId="3A490917"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Until the completion of the Project, Facility shall be secured </w:t>
            </w:r>
            <w:proofErr w:type="gramStart"/>
            <w:r>
              <w:rPr>
                <w:rFonts w:eastAsia="Times New Roman"/>
                <w:color w:val="000000"/>
                <w:sz w:val="22"/>
                <w:szCs w:val="22"/>
              </w:rPr>
              <w:t>by;</w:t>
            </w:r>
            <w:proofErr w:type="gramEnd"/>
          </w:p>
          <w:p w14:paraId="1EEE7985" w14:textId="77777777" w:rsidR="003A61D4" w:rsidRDefault="003A61D4">
            <w:pPr>
              <w:pBdr>
                <w:top w:val="nil"/>
                <w:left w:val="nil"/>
                <w:bottom w:val="nil"/>
                <w:right w:val="nil"/>
                <w:between w:val="nil"/>
              </w:pBdr>
              <w:jc w:val="both"/>
              <w:rPr>
                <w:color w:val="000000"/>
                <w:sz w:val="22"/>
                <w:szCs w:val="22"/>
              </w:rPr>
            </w:pPr>
          </w:p>
          <w:p w14:paraId="3DB8A5B4"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Pledge over Special Account.</w:t>
            </w:r>
          </w:p>
          <w:p w14:paraId="6FB9C1AE"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 xml:space="preserve">Irrevocable guarantee, to be acceptable to the Arranger, given by the Guarantor, on or prior to the Initial Drawdown Date shall be established in favor of the Lenders, Guarantor’s obligation </w:t>
            </w:r>
            <w:proofErr w:type="gramStart"/>
            <w:r>
              <w:rPr>
                <w:rFonts w:eastAsia="Times New Roman"/>
                <w:color w:val="000000"/>
                <w:sz w:val="22"/>
                <w:szCs w:val="22"/>
              </w:rPr>
              <w:t>with regard to</w:t>
            </w:r>
            <w:proofErr w:type="gramEnd"/>
            <w:r>
              <w:rPr>
                <w:rFonts w:eastAsia="Times New Roman"/>
                <w:color w:val="000000"/>
                <w:sz w:val="22"/>
                <w:szCs w:val="22"/>
              </w:rPr>
              <w:t xml:space="preserve"> the guarantee will not be released until (</w:t>
            </w:r>
            <w:proofErr w:type="spellStart"/>
            <w:r>
              <w:rPr>
                <w:rFonts w:eastAsia="Times New Roman"/>
                <w:color w:val="000000"/>
                <w:sz w:val="22"/>
                <w:szCs w:val="22"/>
              </w:rPr>
              <w:t>i</w:t>
            </w:r>
            <w:proofErr w:type="spellEnd"/>
            <w:r>
              <w:rPr>
                <w:rFonts w:eastAsia="Times New Roman"/>
                <w:color w:val="000000"/>
                <w:sz w:val="22"/>
                <w:szCs w:val="22"/>
              </w:rPr>
              <w:t>) complete repayment of the Facility; or (ii) the Borrower and Sponsor provide the Lenders with acceptable and agreed Substitute Securities.</w:t>
            </w:r>
          </w:p>
          <w:p w14:paraId="44482181"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Completion Guarantee issued by the Construction Company for the Project.</w:t>
            </w:r>
          </w:p>
        </w:tc>
      </w:tr>
      <w:tr w:rsidR="003A61D4" w14:paraId="03A105C6" w14:textId="77777777">
        <w:trPr>
          <w:trHeight w:val="1260"/>
        </w:trPr>
        <w:tc>
          <w:tcPr>
            <w:tcW w:w="2599" w:type="dxa"/>
          </w:tcPr>
          <w:p w14:paraId="369A81DC" w14:textId="77777777" w:rsidR="003A61D4" w:rsidRDefault="003A61D4">
            <w:pPr>
              <w:pBdr>
                <w:top w:val="nil"/>
                <w:left w:val="nil"/>
                <w:bottom w:val="nil"/>
                <w:right w:val="nil"/>
                <w:between w:val="nil"/>
              </w:pBdr>
              <w:jc w:val="both"/>
              <w:rPr>
                <w:color w:val="000000"/>
                <w:sz w:val="22"/>
                <w:szCs w:val="22"/>
              </w:rPr>
            </w:pPr>
          </w:p>
        </w:tc>
        <w:tc>
          <w:tcPr>
            <w:tcW w:w="6628" w:type="dxa"/>
          </w:tcPr>
          <w:p w14:paraId="6074A551"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Assignment of all major contracts related to the Project, including, but not limited to, transfer agreement made between the Borrower and the Buyer.</w:t>
            </w:r>
          </w:p>
          <w:p w14:paraId="75F710CE" w14:textId="77777777" w:rsidR="003A61D4" w:rsidRDefault="00000000">
            <w:pPr>
              <w:numPr>
                <w:ilvl w:val="0"/>
                <w:numId w:val="4"/>
              </w:numPr>
              <w:pBdr>
                <w:top w:val="nil"/>
                <w:left w:val="nil"/>
                <w:bottom w:val="nil"/>
                <w:right w:val="nil"/>
                <w:between w:val="nil"/>
              </w:pBdr>
              <w:jc w:val="both"/>
              <w:rPr>
                <w:color w:val="000000"/>
                <w:sz w:val="22"/>
                <w:szCs w:val="22"/>
              </w:rPr>
            </w:pPr>
            <w:proofErr w:type="gramStart"/>
            <w:r>
              <w:rPr>
                <w:rFonts w:eastAsia="Times New Roman"/>
                <w:color w:val="000000"/>
                <w:sz w:val="22"/>
                <w:szCs w:val="22"/>
              </w:rPr>
              <w:t>First priority</w:t>
            </w:r>
            <w:proofErr w:type="gramEnd"/>
            <w:r>
              <w:rPr>
                <w:rFonts w:eastAsia="Times New Roman"/>
                <w:color w:val="000000"/>
                <w:sz w:val="22"/>
                <w:szCs w:val="22"/>
              </w:rPr>
              <w:t xml:space="preserve"> mortgage interest over the Property</w:t>
            </w:r>
          </w:p>
          <w:p w14:paraId="224C9CC2"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 xml:space="preserve">Assignment of rights of insurances related to the </w:t>
            </w:r>
            <w:proofErr w:type="gramStart"/>
            <w:r>
              <w:rPr>
                <w:rFonts w:eastAsia="Times New Roman"/>
                <w:color w:val="000000"/>
                <w:sz w:val="22"/>
                <w:szCs w:val="22"/>
              </w:rPr>
              <w:t>Project</w:t>
            </w:r>
            <w:proofErr w:type="gramEnd"/>
          </w:p>
          <w:p w14:paraId="702683EF"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 xml:space="preserve">Such other securities the Arranger and/or the Lenders may reasonably </w:t>
            </w:r>
            <w:proofErr w:type="gramStart"/>
            <w:r>
              <w:rPr>
                <w:rFonts w:eastAsia="Times New Roman"/>
                <w:color w:val="000000"/>
                <w:sz w:val="22"/>
                <w:szCs w:val="22"/>
              </w:rPr>
              <w:t>require</w:t>
            </w:r>
            <w:proofErr w:type="gramEnd"/>
          </w:p>
          <w:p w14:paraId="10A05047" w14:textId="77777777" w:rsidR="003A61D4" w:rsidRDefault="00000000">
            <w:pPr>
              <w:numPr>
                <w:ilvl w:val="0"/>
                <w:numId w:val="4"/>
              </w:numPr>
              <w:pBdr>
                <w:top w:val="nil"/>
                <w:left w:val="nil"/>
                <w:bottom w:val="nil"/>
                <w:right w:val="nil"/>
                <w:between w:val="nil"/>
              </w:pBdr>
              <w:jc w:val="both"/>
              <w:rPr>
                <w:color w:val="000000"/>
                <w:sz w:val="22"/>
                <w:szCs w:val="22"/>
              </w:rPr>
            </w:pPr>
            <w:r>
              <w:rPr>
                <w:rFonts w:eastAsia="Times New Roman"/>
                <w:color w:val="000000"/>
                <w:sz w:val="22"/>
                <w:szCs w:val="22"/>
              </w:rPr>
              <w:t xml:space="preserve">Pledge over the Borrower’s equity </w:t>
            </w:r>
            <w:proofErr w:type="gramStart"/>
            <w:r>
              <w:rPr>
                <w:rFonts w:eastAsia="Times New Roman"/>
                <w:color w:val="000000"/>
                <w:sz w:val="22"/>
                <w:szCs w:val="22"/>
              </w:rPr>
              <w:t>shares</w:t>
            </w:r>
            <w:proofErr w:type="gramEnd"/>
          </w:p>
          <w:p w14:paraId="71346F5C" w14:textId="77777777" w:rsidR="003A61D4" w:rsidRDefault="003A61D4">
            <w:pPr>
              <w:pBdr>
                <w:top w:val="nil"/>
                <w:left w:val="nil"/>
                <w:bottom w:val="nil"/>
                <w:right w:val="nil"/>
                <w:between w:val="nil"/>
              </w:pBdr>
              <w:jc w:val="both"/>
              <w:rPr>
                <w:color w:val="000000"/>
                <w:sz w:val="22"/>
                <w:szCs w:val="22"/>
              </w:rPr>
            </w:pPr>
          </w:p>
        </w:tc>
      </w:tr>
      <w:tr w:rsidR="003A61D4" w14:paraId="6AB4ED67" w14:textId="77777777">
        <w:trPr>
          <w:trHeight w:val="679"/>
        </w:trPr>
        <w:tc>
          <w:tcPr>
            <w:tcW w:w="2599" w:type="dxa"/>
          </w:tcPr>
          <w:p w14:paraId="53673F64" w14:textId="77777777" w:rsidR="003A61D4" w:rsidRDefault="003A61D4">
            <w:pPr>
              <w:pBdr>
                <w:top w:val="nil"/>
                <w:left w:val="nil"/>
                <w:bottom w:val="nil"/>
                <w:right w:val="nil"/>
                <w:between w:val="nil"/>
              </w:pBdr>
              <w:jc w:val="both"/>
              <w:rPr>
                <w:color w:val="000000"/>
                <w:sz w:val="22"/>
                <w:szCs w:val="22"/>
              </w:rPr>
            </w:pPr>
          </w:p>
        </w:tc>
        <w:tc>
          <w:tcPr>
            <w:tcW w:w="6628" w:type="dxa"/>
          </w:tcPr>
          <w:p w14:paraId="3AF7BD97"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After the completion of the Project, Facility shall be secured </w:t>
            </w:r>
            <w:proofErr w:type="gramStart"/>
            <w:r>
              <w:rPr>
                <w:rFonts w:eastAsia="Times New Roman"/>
                <w:color w:val="000000"/>
                <w:sz w:val="22"/>
                <w:szCs w:val="22"/>
              </w:rPr>
              <w:t>by;</w:t>
            </w:r>
            <w:proofErr w:type="gramEnd"/>
          </w:p>
          <w:p w14:paraId="4D3110AA" w14:textId="77777777" w:rsidR="003A61D4" w:rsidRDefault="003A61D4">
            <w:pPr>
              <w:pBdr>
                <w:top w:val="nil"/>
                <w:left w:val="nil"/>
                <w:bottom w:val="nil"/>
                <w:right w:val="nil"/>
                <w:between w:val="nil"/>
              </w:pBdr>
              <w:jc w:val="both"/>
              <w:rPr>
                <w:color w:val="000000"/>
                <w:sz w:val="22"/>
                <w:szCs w:val="22"/>
              </w:rPr>
            </w:pPr>
          </w:p>
          <w:p w14:paraId="6E59162F" w14:textId="77777777" w:rsidR="003A61D4" w:rsidRDefault="00000000">
            <w:pPr>
              <w:numPr>
                <w:ilvl w:val="0"/>
                <w:numId w:val="3"/>
              </w:numPr>
              <w:pBdr>
                <w:top w:val="nil"/>
                <w:left w:val="nil"/>
                <w:bottom w:val="nil"/>
                <w:right w:val="nil"/>
                <w:between w:val="nil"/>
              </w:pBdr>
              <w:ind w:left="1123"/>
              <w:rPr>
                <w:color w:val="000000"/>
                <w:sz w:val="22"/>
                <w:szCs w:val="22"/>
              </w:rPr>
            </w:pPr>
            <w:r>
              <w:rPr>
                <w:rFonts w:eastAsia="Times New Roman"/>
                <w:color w:val="000000"/>
                <w:sz w:val="22"/>
                <w:szCs w:val="22"/>
              </w:rPr>
              <w:t>Pledge over Special Account</w:t>
            </w:r>
          </w:p>
        </w:tc>
      </w:tr>
      <w:tr w:rsidR="003A61D4" w14:paraId="732C43E3" w14:textId="77777777">
        <w:trPr>
          <w:trHeight w:val="3123"/>
        </w:trPr>
        <w:tc>
          <w:tcPr>
            <w:tcW w:w="2599" w:type="dxa"/>
            <w:tcBorders>
              <w:bottom w:val="nil"/>
            </w:tcBorders>
          </w:tcPr>
          <w:p w14:paraId="3A046AA6"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Securities:</w:t>
            </w:r>
          </w:p>
        </w:tc>
        <w:tc>
          <w:tcPr>
            <w:tcW w:w="6628" w:type="dxa"/>
          </w:tcPr>
          <w:p w14:paraId="567C412A" w14:textId="77777777" w:rsidR="003A61D4" w:rsidRDefault="00000000">
            <w:pPr>
              <w:numPr>
                <w:ilvl w:val="0"/>
                <w:numId w:val="3"/>
              </w:numPr>
              <w:pBdr>
                <w:top w:val="nil"/>
                <w:left w:val="nil"/>
                <w:bottom w:val="nil"/>
                <w:right w:val="nil"/>
                <w:between w:val="nil"/>
              </w:pBdr>
              <w:rPr>
                <w:color w:val="000000"/>
              </w:rPr>
            </w:pPr>
            <w:r>
              <w:rPr>
                <w:rFonts w:eastAsia="Times New Roman"/>
                <w:color w:val="000000"/>
                <w:sz w:val="22"/>
                <w:szCs w:val="22"/>
              </w:rPr>
              <w:t>Assignment of all major contracts related to the Project, including, but not limited to, transfer agreement made between the Borrower and the Buyer.</w:t>
            </w:r>
          </w:p>
          <w:p w14:paraId="77DCC072" w14:textId="77777777" w:rsidR="003A61D4" w:rsidRDefault="00000000">
            <w:pPr>
              <w:numPr>
                <w:ilvl w:val="0"/>
                <w:numId w:val="3"/>
              </w:numPr>
              <w:pBdr>
                <w:top w:val="nil"/>
                <w:left w:val="nil"/>
                <w:bottom w:val="nil"/>
                <w:right w:val="nil"/>
                <w:between w:val="nil"/>
              </w:pBdr>
              <w:rPr>
                <w:color w:val="000000"/>
              </w:rPr>
            </w:pPr>
            <w:r>
              <w:rPr>
                <w:rFonts w:eastAsia="Times New Roman"/>
                <w:color w:val="000000"/>
                <w:sz w:val="22"/>
                <w:szCs w:val="22"/>
              </w:rPr>
              <w:t>Insurance Policies acceptable to the Agent and the Lenders.</w:t>
            </w:r>
          </w:p>
          <w:p w14:paraId="6ACFCD99" w14:textId="77777777" w:rsidR="003A61D4" w:rsidRDefault="00000000">
            <w:pPr>
              <w:numPr>
                <w:ilvl w:val="0"/>
                <w:numId w:val="3"/>
              </w:numPr>
              <w:pBdr>
                <w:top w:val="nil"/>
                <w:left w:val="nil"/>
                <w:bottom w:val="nil"/>
                <w:right w:val="nil"/>
                <w:between w:val="nil"/>
              </w:pBdr>
              <w:rPr>
                <w:color w:val="000000"/>
              </w:rPr>
            </w:pPr>
            <w:proofErr w:type="gramStart"/>
            <w:r>
              <w:rPr>
                <w:rFonts w:eastAsia="Times New Roman"/>
                <w:color w:val="000000"/>
                <w:sz w:val="22"/>
                <w:szCs w:val="22"/>
              </w:rPr>
              <w:t>First priority</w:t>
            </w:r>
            <w:proofErr w:type="gramEnd"/>
            <w:r>
              <w:rPr>
                <w:rFonts w:eastAsia="Times New Roman"/>
                <w:color w:val="000000"/>
                <w:sz w:val="22"/>
                <w:szCs w:val="22"/>
              </w:rPr>
              <w:t xml:space="preserve"> mortgage interest over the Property</w:t>
            </w:r>
          </w:p>
          <w:p w14:paraId="410F4DE9" w14:textId="77777777" w:rsidR="003A61D4" w:rsidRDefault="00000000">
            <w:pPr>
              <w:numPr>
                <w:ilvl w:val="0"/>
                <w:numId w:val="3"/>
              </w:numPr>
              <w:pBdr>
                <w:top w:val="nil"/>
                <w:left w:val="nil"/>
                <w:bottom w:val="nil"/>
                <w:right w:val="nil"/>
                <w:between w:val="nil"/>
              </w:pBdr>
              <w:rPr>
                <w:color w:val="000000"/>
              </w:rPr>
            </w:pPr>
            <w:r>
              <w:rPr>
                <w:rFonts w:eastAsia="Times New Roman"/>
                <w:color w:val="000000"/>
                <w:sz w:val="22"/>
                <w:szCs w:val="22"/>
              </w:rPr>
              <w:t>Assignment of the lease agreement, which will be made between the Borrower and the Buyer.</w:t>
            </w:r>
          </w:p>
          <w:p w14:paraId="032CA9B5" w14:textId="77777777" w:rsidR="003A61D4" w:rsidRDefault="00000000">
            <w:pPr>
              <w:numPr>
                <w:ilvl w:val="0"/>
                <w:numId w:val="1"/>
              </w:numPr>
              <w:pBdr>
                <w:top w:val="nil"/>
                <w:left w:val="nil"/>
                <w:bottom w:val="nil"/>
                <w:right w:val="nil"/>
                <w:between w:val="nil"/>
              </w:pBdr>
              <w:jc w:val="both"/>
              <w:rPr>
                <w:color w:val="000000"/>
                <w:sz w:val="22"/>
                <w:szCs w:val="22"/>
              </w:rPr>
            </w:pPr>
            <w:r>
              <w:rPr>
                <w:rFonts w:eastAsia="Times New Roman"/>
                <w:color w:val="000000"/>
                <w:sz w:val="22"/>
                <w:szCs w:val="22"/>
              </w:rPr>
              <w:t xml:space="preserve">Assignment of rights of insurances related to the </w:t>
            </w:r>
            <w:proofErr w:type="gramStart"/>
            <w:r>
              <w:rPr>
                <w:rFonts w:eastAsia="Times New Roman"/>
                <w:color w:val="000000"/>
                <w:sz w:val="22"/>
                <w:szCs w:val="22"/>
              </w:rPr>
              <w:t>Project</w:t>
            </w:r>
            <w:proofErr w:type="gramEnd"/>
          </w:p>
          <w:p w14:paraId="637731DC" w14:textId="77777777" w:rsidR="003A61D4" w:rsidRDefault="00000000">
            <w:pPr>
              <w:numPr>
                <w:ilvl w:val="0"/>
                <w:numId w:val="1"/>
              </w:numPr>
              <w:pBdr>
                <w:top w:val="nil"/>
                <w:left w:val="nil"/>
                <w:bottom w:val="nil"/>
                <w:right w:val="nil"/>
                <w:between w:val="nil"/>
              </w:pBdr>
              <w:jc w:val="both"/>
              <w:rPr>
                <w:color w:val="000000"/>
                <w:sz w:val="22"/>
                <w:szCs w:val="22"/>
              </w:rPr>
            </w:pPr>
            <w:r>
              <w:rPr>
                <w:rFonts w:eastAsia="Times New Roman"/>
                <w:color w:val="000000"/>
                <w:sz w:val="22"/>
                <w:szCs w:val="22"/>
              </w:rPr>
              <w:t>Pledge over the Borrower’s Equity Shares.</w:t>
            </w:r>
          </w:p>
          <w:p w14:paraId="6EC0AC19" w14:textId="77777777" w:rsidR="003A61D4" w:rsidRDefault="00000000">
            <w:pPr>
              <w:numPr>
                <w:ilvl w:val="0"/>
                <w:numId w:val="1"/>
              </w:numPr>
              <w:pBdr>
                <w:top w:val="nil"/>
                <w:left w:val="nil"/>
                <w:bottom w:val="nil"/>
                <w:right w:val="nil"/>
                <w:between w:val="nil"/>
              </w:pBdr>
              <w:jc w:val="both"/>
              <w:rPr>
                <w:color w:val="000000"/>
              </w:rPr>
            </w:pPr>
            <w:r>
              <w:rPr>
                <w:rFonts w:eastAsia="Times New Roman"/>
                <w:color w:val="000000"/>
                <w:sz w:val="22"/>
                <w:szCs w:val="22"/>
              </w:rPr>
              <w:t xml:space="preserve">Such other securities the Arranger and/or the Lenders may reasonably </w:t>
            </w:r>
            <w:proofErr w:type="gramStart"/>
            <w:r>
              <w:rPr>
                <w:rFonts w:eastAsia="Times New Roman"/>
                <w:color w:val="000000"/>
                <w:sz w:val="22"/>
                <w:szCs w:val="22"/>
              </w:rPr>
              <w:t>require</w:t>
            </w:r>
            <w:proofErr w:type="gramEnd"/>
          </w:p>
          <w:p w14:paraId="7097307E" w14:textId="77777777" w:rsidR="003A61D4" w:rsidRDefault="003A61D4">
            <w:pPr>
              <w:pBdr>
                <w:top w:val="nil"/>
                <w:left w:val="nil"/>
                <w:bottom w:val="nil"/>
                <w:right w:val="nil"/>
                <w:between w:val="nil"/>
              </w:pBdr>
              <w:rPr>
                <w:color w:val="000000"/>
              </w:rPr>
            </w:pPr>
          </w:p>
        </w:tc>
      </w:tr>
      <w:tr w:rsidR="003A61D4" w14:paraId="286E325D" w14:textId="77777777">
        <w:trPr>
          <w:trHeight w:val="2235"/>
        </w:trPr>
        <w:tc>
          <w:tcPr>
            <w:tcW w:w="2599" w:type="dxa"/>
            <w:tcBorders>
              <w:bottom w:val="nil"/>
            </w:tcBorders>
          </w:tcPr>
          <w:p w14:paraId="04354DE2"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 xml:space="preserve">Waiver of </w:t>
            </w:r>
          </w:p>
          <w:p w14:paraId="0BF998AB"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Sovereign Immunity</w:t>
            </w:r>
          </w:p>
        </w:tc>
        <w:tc>
          <w:tcPr>
            <w:tcW w:w="6628" w:type="dxa"/>
            <w:tcBorders>
              <w:bottom w:val="nil"/>
            </w:tcBorders>
          </w:tcPr>
          <w:p w14:paraId="01628921" w14:textId="77777777" w:rsidR="003A61D4" w:rsidRDefault="003A61D4">
            <w:pPr>
              <w:pBdr>
                <w:top w:val="nil"/>
                <w:left w:val="nil"/>
                <w:bottom w:val="nil"/>
                <w:right w:val="nil"/>
                <w:between w:val="nil"/>
              </w:pBdr>
              <w:jc w:val="both"/>
              <w:rPr>
                <w:color w:val="000000"/>
                <w:sz w:val="22"/>
                <w:szCs w:val="22"/>
              </w:rPr>
            </w:pPr>
          </w:p>
          <w:p w14:paraId="3C336286"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The Borrower, the Buyer and the Guarantor irrevocably waives all immunity to which it may be or become entitled in relation to this agreement, including immunity from jurisdiction, enforcement, prejudgment proceedings, injunctions and all other legal proceedings and relief, both in respect of itself and its assets, and consents to such proceeding and relief.</w:t>
            </w:r>
          </w:p>
          <w:p w14:paraId="1A57769D" w14:textId="77777777" w:rsidR="003A61D4" w:rsidRDefault="003A61D4">
            <w:pPr>
              <w:pBdr>
                <w:top w:val="nil"/>
                <w:left w:val="nil"/>
                <w:bottom w:val="nil"/>
                <w:right w:val="nil"/>
                <w:between w:val="nil"/>
              </w:pBdr>
              <w:rPr>
                <w:color w:val="000000"/>
                <w:sz w:val="22"/>
                <w:szCs w:val="22"/>
              </w:rPr>
            </w:pPr>
          </w:p>
        </w:tc>
      </w:tr>
      <w:tr w:rsidR="003A61D4" w14:paraId="390F5F1B" w14:textId="77777777">
        <w:trPr>
          <w:trHeight w:val="6381"/>
        </w:trPr>
        <w:tc>
          <w:tcPr>
            <w:tcW w:w="2599" w:type="dxa"/>
            <w:tcBorders>
              <w:bottom w:val="nil"/>
            </w:tcBorders>
          </w:tcPr>
          <w:p w14:paraId="268EDEA5"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lastRenderedPageBreak/>
              <w:t>Conditions Precedent</w:t>
            </w:r>
          </w:p>
          <w:p w14:paraId="52003702" w14:textId="77777777" w:rsidR="003A61D4" w:rsidRDefault="00000000">
            <w:pPr>
              <w:pBdr>
                <w:top w:val="nil"/>
                <w:left w:val="nil"/>
                <w:bottom w:val="nil"/>
                <w:right w:val="nil"/>
                <w:between w:val="nil"/>
              </w:pBdr>
              <w:jc w:val="both"/>
              <w:rPr>
                <w:color w:val="000000"/>
                <w:sz w:val="22"/>
                <w:szCs w:val="22"/>
              </w:rPr>
            </w:pPr>
            <w:r>
              <w:rPr>
                <w:rFonts w:eastAsia="Times New Roman"/>
                <w:b/>
                <w:color w:val="000000"/>
                <w:sz w:val="22"/>
                <w:szCs w:val="22"/>
              </w:rPr>
              <w:t>To Drawdown:</w:t>
            </w:r>
          </w:p>
          <w:p w14:paraId="6D4B241C" w14:textId="77777777" w:rsidR="003A61D4" w:rsidRDefault="003A61D4">
            <w:pPr>
              <w:pBdr>
                <w:top w:val="nil"/>
                <w:left w:val="nil"/>
                <w:bottom w:val="nil"/>
                <w:right w:val="nil"/>
                <w:between w:val="nil"/>
              </w:pBdr>
              <w:jc w:val="both"/>
              <w:rPr>
                <w:color w:val="000000"/>
                <w:sz w:val="22"/>
                <w:szCs w:val="22"/>
              </w:rPr>
            </w:pPr>
          </w:p>
        </w:tc>
        <w:tc>
          <w:tcPr>
            <w:tcW w:w="6628" w:type="dxa"/>
            <w:tcBorders>
              <w:bottom w:val="nil"/>
            </w:tcBorders>
          </w:tcPr>
          <w:p w14:paraId="76B544F3"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Customary provisions for financings of this nature including but not limited to:</w:t>
            </w:r>
          </w:p>
          <w:p w14:paraId="23230502" w14:textId="77777777" w:rsidR="003A61D4" w:rsidRDefault="00000000">
            <w:pPr>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The Borrower shall open the Special Account in financial institutions acceptable to the Agent.</w:t>
            </w:r>
          </w:p>
          <w:p w14:paraId="1183D268" w14:textId="77777777" w:rsidR="003A61D4" w:rsidRDefault="00000000">
            <w:pPr>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Receipt of the business feasibility report, satisfactory to the Arranger, prepared by a reputable international agency specialized in evaluating business related to power sector.</w:t>
            </w:r>
          </w:p>
          <w:p w14:paraId="092B877F" w14:textId="77777777" w:rsidR="003A61D4" w:rsidRDefault="00000000">
            <w:pPr>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The EPC contract to be set between the Borrower and the Construction Company.</w:t>
            </w:r>
          </w:p>
          <w:p w14:paraId="65F9D0F3" w14:textId="77777777" w:rsidR="003A61D4" w:rsidRDefault="00000000">
            <w:pPr>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All major contracts, which shall be made in relation to the Project, must be acceptable to the Agent and the Lenders.</w:t>
            </w:r>
          </w:p>
          <w:p w14:paraId="3BD1F4DC" w14:textId="77777777" w:rsidR="003A61D4" w:rsidRDefault="00000000">
            <w:pPr>
              <w:widowControl w:val="0"/>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Satisfactory documentation and such other conditions, which are reasonable and appropriate.</w:t>
            </w:r>
          </w:p>
          <w:p w14:paraId="00AB7C0F" w14:textId="77777777" w:rsidR="003A61D4" w:rsidRDefault="00000000">
            <w:pPr>
              <w:numPr>
                <w:ilvl w:val="0"/>
                <w:numId w:val="2"/>
              </w:numPr>
              <w:pBdr>
                <w:top w:val="nil"/>
                <w:left w:val="nil"/>
                <w:bottom w:val="nil"/>
                <w:right w:val="nil"/>
                <w:between w:val="nil"/>
              </w:pBdr>
              <w:ind w:left="1123"/>
              <w:jc w:val="both"/>
              <w:rPr>
                <w:color w:val="000000"/>
              </w:rPr>
            </w:pPr>
            <w:r>
              <w:rPr>
                <w:rFonts w:eastAsia="Times New Roman"/>
                <w:color w:val="000000"/>
                <w:sz w:val="22"/>
                <w:szCs w:val="22"/>
              </w:rPr>
              <w:t>Receipt of technical &amp; environmental inspection report for the Property.</w:t>
            </w:r>
          </w:p>
          <w:p w14:paraId="4DC300A6" w14:textId="77777777" w:rsidR="003A61D4" w:rsidRDefault="00000000">
            <w:pPr>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Receipt of all required governmental and other approvals and acceptable legal opinions.</w:t>
            </w:r>
          </w:p>
          <w:p w14:paraId="4CFCB8CC" w14:textId="77777777" w:rsidR="003A61D4" w:rsidRDefault="00000000">
            <w:pPr>
              <w:numPr>
                <w:ilvl w:val="0"/>
                <w:numId w:val="2"/>
              </w:numPr>
              <w:pBdr>
                <w:top w:val="nil"/>
                <w:left w:val="nil"/>
                <w:bottom w:val="nil"/>
                <w:right w:val="nil"/>
                <w:between w:val="nil"/>
              </w:pBdr>
              <w:ind w:left="1123"/>
              <w:jc w:val="both"/>
              <w:rPr>
                <w:color w:val="000000"/>
                <w:sz w:val="22"/>
                <w:szCs w:val="22"/>
              </w:rPr>
            </w:pPr>
            <w:r>
              <w:rPr>
                <w:rFonts w:eastAsia="Times New Roman"/>
                <w:color w:val="000000"/>
                <w:sz w:val="22"/>
                <w:szCs w:val="22"/>
              </w:rPr>
              <w:t>The Borrower shall prepare and submit an annual operating budget and business plan of year 2005 to the Agent and thereafter submit an annual operating budget and business plan for review by the Agent not later than thirty (30) days prior to the end of each calendar year.</w:t>
            </w:r>
          </w:p>
          <w:p w14:paraId="164A3CE8" w14:textId="77777777" w:rsidR="003A61D4" w:rsidRDefault="003A61D4">
            <w:pPr>
              <w:pBdr>
                <w:top w:val="nil"/>
                <w:left w:val="nil"/>
                <w:bottom w:val="nil"/>
                <w:right w:val="nil"/>
                <w:between w:val="nil"/>
              </w:pBdr>
              <w:spacing w:after="120"/>
              <w:ind w:left="400"/>
              <w:jc w:val="both"/>
              <w:rPr>
                <w:color w:val="000000"/>
              </w:rPr>
            </w:pPr>
          </w:p>
        </w:tc>
      </w:tr>
      <w:tr w:rsidR="003A61D4" w14:paraId="6FEC6C53" w14:textId="77777777">
        <w:trPr>
          <w:trHeight w:val="696"/>
        </w:trPr>
        <w:tc>
          <w:tcPr>
            <w:tcW w:w="2599" w:type="dxa"/>
          </w:tcPr>
          <w:p w14:paraId="1DC06BF2"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b/>
                <w:color w:val="000000"/>
                <w:sz w:val="22"/>
                <w:szCs w:val="22"/>
              </w:rPr>
              <w:t>Representations &amp;</w:t>
            </w:r>
          </w:p>
          <w:p w14:paraId="79F9F448"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b/>
                <w:color w:val="000000"/>
                <w:sz w:val="22"/>
                <w:szCs w:val="22"/>
              </w:rPr>
              <w:t xml:space="preserve"> Warranties:</w:t>
            </w:r>
          </w:p>
        </w:tc>
        <w:tc>
          <w:tcPr>
            <w:tcW w:w="6628" w:type="dxa"/>
          </w:tcPr>
          <w:p w14:paraId="051D7867" w14:textId="77777777" w:rsidR="003A61D4" w:rsidRDefault="00000000">
            <w:pPr>
              <w:pBdr>
                <w:top w:val="nil"/>
                <w:left w:val="nil"/>
                <w:bottom w:val="nil"/>
                <w:right w:val="nil"/>
                <w:between w:val="nil"/>
              </w:pBdr>
              <w:spacing w:after="120"/>
              <w:jc w:val="both"/>
              <w:rPr>
                <w:color w:val="000000"/>
                <w:sz w:val="22"/>
                <w:szCs w:val="22"/>
              </w:rPr>
            </w:pPr>
            <w:r>
              <w:rPr>
                <w:rFonts w:eastAsia="Times New Roman"/>
                <w:color w:val="000000"/>
                <w:sz w:val="22"/>
                <w:szCs w:val="22"/>
              </w:rPr>
              <w:t>The Borrower and the Buyer will make representations and warranties customary for a Facility of this nature. The obligation of the Lenders in relation to each Drawdown will be subject to those representations and warranties, which are to be repeated as of the date of the respective drawdown request and on the first day of each Interest Period.</w:t>
            </w:r>
          </w:p>
          <w:p w14:paraId="56A0BFD7" w14:textId="77777777" w:rsidR="003A61D4" w:rsidRDefault="00000000">
            <w:pPr>
              <w:pBdr>
                <w:top w:val="nil"/>
                <w:left w:val="nil"/>
                <w:bottom w:val="nil"/>
                <w:right w:val="nil"/>
                <w:between w:val="nil"/>
              </w:pBdr>
              <w:spacing w:after="120"/>
              <w:jc w:val="both"/>
              <w:rPr>
                <w:color w:val="000000"/>
                <w:sz w:val="22"/>
                <w:szCs w:val="22"/>
              </w:rPr>
            </w:pPr>
            <w:r>
              <w:rPr>
                <w:rFonts w:eastAsia="Times New Roman"/>
                <w:color w:val="000000"/>
                <w:sz w:val="22"/>
                <w:szCs w:val="22"/>
              </w:rPr>
              <w:t xml:space="preserve"> </w:t>
            </w:r>
          </w:p>
        </w:tc>
      </w:tr>
      <w:tr w:rsidR="003A61D4" w14:paraId="0EF7A4F4" w14:textId="77777777">
        <w:trPr>
          <w:trHeight w:val="3447"/>
        </w:trPr>
        <w:tc>
          <w:tcPr>
            <w:tcW w:w="2599" w:type="dxa"/>
          </w:tcPr>
          <w:p w14:paraId="5C04A875"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 xml:space="preserve">Covenants &amp; </w:t>
            </w:r>
          </w:p>
          <w:p w14:paraId="39BF7788"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Undertakings:</w:t>
            </w:r>
          </w:p>
        </w:tc>
        <w:tc>
          <w:tcPr>
            <w:tcW w:w="6628" w:type="dxa"/>
          </w:tcPr>
          <w:p w14:paraId="01596CE2" w14:textId="77777777" w:rsidR="003A61D4" w:rsidRDefault="00000000">
            <w:pPr>
              <w:pBdr>
                <w:top w:val="nil"/>
                <w:left w:val="nil"/>
                <w:bottom w:val="nil"/>
                <w:right w:val="nil"/>
                <w:between w:val="nil"/>
              </w:pBdr>
              <w:spacing w:after="120"/>
              <w:jc w:val="both"/>
              <w:rPr>
                <w:color w:val="000000"/>
                <w:sz w:val="22"/>
                <w:szCs w:val="22"/>
              </w:rPr>
            </w:pPr>
            <w:r>
              <w:rPr>
                <w:rFonts w:eastAsia="Times New Roman"/>
                <w:color w:val="000000"/>
                <w:sz w:val="22"/>
                <w:szCs w:val="22"/>
              </w:rPr>
              <w:t xml:space="preserve">Customary for  financings of this nature, applicable as appropriate to the Borrower and to include, but not limited to, provision of financial and other information, notification of any potential Event of Default or Event of Default, compliance with laws and regulations, </w:t>
            </w:r>
            <w:proofErr w:type="spellStart"/>
            <w:r>
              <w:rPr>
                <w:rFonts w:eastAsia="Times New Roman"/>
                <w:color w:val="000000"/>
                <w:sz w:val="22"/>
                <w:szCs w:val="22"/>
              </w:rPr>
              <w:t>pari</w:t>
            </w:r>
            <w:proofErr w:type="spellEnd"/>
            <w:r>
              <w:rPr>
                <w:rFonts w:eastAsia="Times New Roman"/>
                <w:color w:val="000000"/>
                <w:sz w:val="22"/>
                <w:szCs w:val="22"/>
              </w:rPr>
              <w:t xml:space="preserve"> passu ranking of obligations, negative pledge, restriction on disposal of assets, restrictions on mergers and acquisitions, change of business, change of control, breach of contract and other provisions appropriate to this transaction.</w:t>
            </w:r>
          </w:p>
          <w:p w14:paraId="5EB2D0B9"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In addition to the above, no dividend payments shall be permitted until at least [   </w:t>
            </w:r>
            <w:proofErr w:type="gramStart"/>
            <w:r>
              <w:rPr>
                <w:rFonts w:eastAsia="Times New Roman"/>
                <w:color w:val="000000"/>
                <w:sz w:val="22"/>
                <w:szCs w:val="22"/>
              </w:rPr>
              <w:t xml:space="preserve">  ]</w:t>
            </w:r>
            <w:proofErr w:type="gramEnd"/>
            <w:r>
              <w:rPr>
                <w:rFonts w:eastAsia="Times New Roman"/>
                <w:color w:val="000000"/>
                <w:sz w:val="22"/>
                <w:szCs w:val="22"/>
              </w:rPr>
              <w:t xml:space="preserve">% of the principal of the Facility has been repaid and Financial Covenants set out herein shall be met. </w:t>
            </w:r>
          </w:p>
          <w:p w14:paraId="0CFE3303" w14:textId="77777777" w:rsidR="003A61D4" w:rsidRDefault="003A61D4">
            <w:pPr>
              <w:pBdr>
                <w:top w:val="nil"/>
                <w:left w:val="nil"/>
                <w:bottom w:val="nil"/>
                <w:right w:val="nil"/>
                <w:between w:val="nil"/>
              </w:pBdr>
              <w:spacing w:after="120"/>
              <w:jc w:val="both"/>
              <w:rPr>
                <w:color w:val="000000"/>
                <w:sz w:val="22"/>
                <w:szCs w:val="22"/>
              </w:rPr>
            </w:pPr>
          </w:p>
        </w:tc>
      </w:tr>
      <w:tr w:rsidR="003A61D4" w14:paraId="17BD99A5" w14:textId="77777777">
        <w:trPr>
          <w:trHeight w:val="2308"/>
        </w:trPr>
        <w:tc>
          <w:tcPr>
            <w:tcW w:w="2599" w:type="dxa"/>
          </w:tcPr>
          <w:p w14:paraId="4D7FD438"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Events of Default:</w:t>
            </w:r>
          </w:p>
        </w:tc>
        <w:tc>
          <w:tcPr>
            <w:tcW w:w="6628" w:type="dxa"/>
          </w:tcPr>
          <w:p w14:paraId="3BFD4F4C" w14:textId="77777777" w:rsidR="003A61D4" w:rsidRDefault="00000000">
            <w:pPr>
              <w:pBdr>
                <w:top w:val="nil"/>
                <w:left w:val="nil"/>
                <w:bottom w:val="nil"/>
                <w:right w:val="nil"/>
                <w:between w:val="nil"/>
              </w:pBdr>
              <w:spacing w:after="120"/>
              <w:jc w:val="both"/>
              <w:rPr>
                <w:color w:val="000000"/>
                <w:sz w:val="22"/>
                <w:szCs w:val="22"/>
              </w:rPr>
            </w:pPr>
            <w:r>
              <w:rPr>
                <w:rFonts w:eastAsia="Times New Roman"/>
                <w:color w:val="000000"/>
                <w:sz w:val="22"/>
                <w:szCs w:val="22"/>
              </w:rPr>
              <w:t>Customary provisions for financings of this nature (subject to applicable grace periods to be mutually agreed) including but not limited to : (</w:t>
            </w:r>
            <w:proofErr w:type="spellStart"/>
            <w:r>
              <w:rPr>
                <w:rFonts w:eastAsia="Times New Roman"/>
                <w:color w:val="000000"/>
                <w:sz w:val="22"/>
                <w:szCs w:val="22"/>
              </w:rPr>
              <w:t>i</w:t>
            </w:r>
            <w:proofErr w:type="spellEnd"/>
            <w:r>
              <w:rPr>
                <w:rFonts w:eastAsia="Times New Roman"/>
                <w:color w:val="000000"/>
                <w:sz w:val="22"/>
                <w:szCs w:val="22"/>
              </w:rPr>
              <w:t xml:space="preserve">) payment default, (ii) material default under the Facility documentation, (iii) breach of any Representations &amp; Warranties and Covenants &amp; Undertakings, (iv) cross default to financial indebtedness (of the Borrower, the Sponsor and/or their subsidiaries), exceeding US$ 5 million in aggregate, (v) customary bankruptcy, insolvency, enforcement </w:t>
            </w:r>
            <w:r>
              <w:rPr>
                <w:rFonts w:eastAsia="Times New Roman"/>
                <w:color w:val="000000"/>
                <w:sz w:val="22"/>
                <w:szCs w:val="22"/>
              </w:rPr>
              <w:lastRenderedPageBreak/>
              <w:t>provisions,  (vi) change of control / ownership interest of the Borrower, and (vii) material adverse effect.</w:t>
            </w:r>
          </w:p>
          <w:p w14:paraId="7FD7E01C" w14:textId="77777777" w:rsidR="003A61D4" w:rsidRDefault="003A61D4">
            <w:pPr>
              <w:pBdr>
                <w:top w:val="nil"/>
                <w:left w:val="nil"/>
                <w:bottom w:val="nil"/>
                <w:right w:val="nil"/>
                <w:between w:val="nil"/>
              </w:pBdr>
              <w:spacing w:after="120"/>
              <w:jc w:val="both"/>
              <w:rPr>
                <w:color w:val="000000"/>
                <w:sz w:val="22"/>
                <w:szCs w:val="22"/>
              </w:rPr>
            </w:pPr>
          </w:p>
        </w:tc>
      </w:tr>
      <w:tr w:rsidR="003A61D4" w14:paraId="46EF09DE" w14:textId="77777777">
        <w:trPr>
          <w:trHeight w:val="2852"/>
        </w:trPr>
        <w:tc>
          <w:tcPr>
            <w:tcW w:w="2599" w:type="dxa"/>
          </w:tcPr>
          <w:p w14:paraId="5FBC1200"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lastRenderedPageBreak/>
              <w:t>Loan Documentation:</w:t>
            </w:r>
          </w:p>
        </w:tc>
        <w:tc>
          <w:tcPr>
            <w:tcW w:w="6628" w:type="dxa"/>
          </w:tcPr>
          <w:p w14:paraId="4D0B79A5" w14:textId="77777777" w:rsidR="003A61D4" w:rsidRDefault="00000000">
            <w:pPr>
              <w:pBdr>
                <w:top w:val="nil"/>
                <w:left w:val="nil"/>
                <w:bottom w:val="nil"/>
                <w:right w:val="nil"/>
                <w:between w:val="nil"/>
              </w:pBdr>
              <w:tabs>
                <w:tab w:val="left" w:pos="-720"/>
              </w:tabs>
              <w:spacing w:after="120" w:line="360" w:lineRule="auto"/>
              <w:jc w:val="both"/>
              <w:rPr>
                <w:color w:val="000000"/>
                <w:sz w:val="22"/>
                <w:szCs w:val="22"/>
              </w:rPr>
            </w:pPr>
            <w:r>
              <w:rPr>
                <w:rFonts w:eastAsia="Times New Roman"/>
                <w:color w:val="000000"/>
                <w:sz w:val="22"/>
                <w:szCs w:val="22"/>
              </w:rPr>
              <w:t>The Facility will be subject to preparation, execution and delivery of mutually acceptable Facility documentation which will contain conditions precedent, representations and warranties, covenants, negative pledge, events of default, cross default, indemnities, break costs, illegality, market disruption, set-off</w:t>
            </w:r>
            <w:proofErr w:type="gramStart"/>
            <w:r>
              <w:rPr>
                <w:rFonts w:eastAsia="Times New Roman"/>
                <w:color w:val="000000"/>
                <w:sz w:val="22"/>
                <w:szCs w:val="22"/>
              </w:rPr>
              <w:t>, ,</w:t>
            </w:r>
            <w:proofErr w:type="gramEnd"/>
            <w:r>
              <w:rPr>
                <w:rFonts w:eastAsia="Times New Roman"/>
                <w:color w:val="000000"/>
                <w:sz w:val="22"/>
                <w:szCs w:val="22"/>
              </w:rPr>
              <w:t xml:space="preserve"> pro-rata sharing between Lenders, agency and other provisions customarily found in loan documentation for similar financings and others as appropriate to the Facility.</w:t>
            </w:r>
          </w:p>
          <w:p w14:paraId="4C467B25" w14:textId="77777777" w:rsidR="003A61D4" w:rsidRDefault="003A61D4">
            <w:pPr>
              <w:pBdr>
                <w:top w:val="nil"/>
                <w:left w:val="nil"/>
                <w:bottom w:val="nil"/>
                <w:right w:val="nil"/>
                <w:between w:val="nil"/>
              </w:pBdr>
              <w:tabs>
                <w:tab w:val="left" w:pos="-720"/>
              </w:tabs>
              <w:spacing w:after="120" w:line="360" w:lineRule="auto"/>
              <w:jc w:val="both"/>
              <w:rPr>
                <w:color w:val="000000"/>
                <w:sz w:val="22"/>
                <w:szCs w:val="22"/>
              </w:rPr>
            </w:pPr>
          </w:p>
        </w:tc>
      </w:tr>
      <w:tr w:rsidR="003A61D4" w14:paraId="0E57E531" w14:textId="77777777">
        <w:trPr>
          <w:trHeight w:val="758"/>
        </w:trPr>
        <w:tc>
          <w:tcPr>
            <w:tcW w:w="2599" w:type="dxa"/>
          </w:tcPr>
          <w:p w14:paraId="5B5A51CE"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Illegality:</w:t>
            </w:r>
          </w:p>
        </w:tc>
        <w:tc>
          <w:tcPr>
            <w:tcW w:w="6628" w:type="dxa"/>
          </w:tcPr>
          <w:p w14:paraId="3301229B"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If it is or becomes illegal for any Lenders to provide or continue to make the Facility available, the Commitment of the relevant Lenders shall be </w:t>
            </w:r>
            <w:proofErr w:type="gramStart"/>
            <w:r>
              <w:rPr>
                <w:rFonts w:eastAsia="Times New Roman"/>
                <w:color w:val="000000"/>
                <w:sz w:val="22"/>
                <w:szCs w:val="22"/>
              </w:rPr>
              <w:t>cancelled</w:t>
            </w:r>
            <w:proofErr w:type="gramEnd"/>
            <w:r>
              <w:rPr>
                <w:rFonts w:eastAsia="Times New Roman"/>
                <w:color w:val="000000"/>
                <w:sz w:val="22"/>
                <w:szCs w:val="22"/>
              </w:rPr>
              <w:t xml:space="preserve"> and the Borrower will prepay all outstanding amounts owing to that Lenders under the Facility.</w:t>
            </w:r>
          </w:p>
          <w:p w14:paraId="4D9954D2" w14:textId="77777777" w:rsidR="003A61D4" w:rsidRDefault="003A61D4">
            <w:pPr>
              <w:pBdr>
                <w:top w:val="nil"/>
                <w:left w:val="nil"/>
                <w:bottom w:val="nil"/>
                <w:right w:val="nil"/>
                <w:between w:val="nil"/>
              </w:pBdr>
              <w:spacing w:after="120"/>
              <w:jc w:val="both"/>
              <w:rPr>
                <w:color w:val="000000"/>
                <w:sz w:val="22"/>
                <w:szCs w:val="22"/>
              </w:rPr>
            </w:pPr>
          </w:p>
        </w:tc>
      </w:tr>
      <w:tr w:rsidR="003A61D4" w14:paraId="27FE8BEA" w14:textId="77777777">
        <w:trPr>
          <w:trHeight w:val="1275"/>
        </w:trPr>
        <w:tc>
          <w:tcPr>
            <w:tcW w:w="2599" w:type="dxa"/>
          </w:tcPr>
          <w:p w14:paraId="5D0047AA"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Clear Market:</w:t>
            </w:r>
          </w:p>
          <w:p w14:paraId="6ECA2DCE" w14:textId="77777777" w:rsidR="003A61D4" w:rsidRDefault="003A61D4">
            <w:pPr>
              <w:pBdr>
                <w:top w:val="nil"/>
                <w:left w:val="nil"/>
                <w:bottom w:val="nil"/>
                <w:right w:val="nil"/>
                <w:between w:val="nil"/>
              </w:pBdr>
              <w:tabs>
                <w:tab w:val="left" w:pos="2970"/>
              </w:tabs>
              <w:jc w:val="both"/>
              <w:rPr>
                <w:color w:val="000000"/>
                <w:sz w:val="22"/>
                <w:szCs w:val="22"/>
              </w:rPr>
            </w:pPr>
          </w:p>
          <w:p w14:paraId="5D4C2B00" w14:textId="77777777" w:rsidR="003A61D4" w:rsidRDefault="003A61D4">
            <w:pPr>
              <w:pBdr>
                <w:top w:val="nil"/>
                <w:left w:val="nil"/>
                <w:bottom w:val="nil"/>
                <w:right w:val="nil"/>
                <w:between w:val="nil"/>
              </w:pBdr>
              <w:tabs>
                <w:tab w:val="left" w:pos="2970"/>
              </w:tabs>
              <w:jc w:val="both"/>
              <w:rPr>
                <w:color w:val="000000"/>
                <w:sz w:val="22"/>
                <w:szCs w:val="22"/>
              </w:rPr>
            </w:pPr>
          </w:p>
          <w:p w14:paraId="4E1A7FE2" w14:textId="77777777" w:rsidR="003A61D4" w:rsidRDefault="003A61D4">
            <w:pPr>
              <w:pBdr>
                <w:top w:val="nil"/>
                <w:left w:val="nil"/>
                <w:bottom w:val="nil"/>
                <w:right w:val="nil"/>
                <w:between w:val="nil"/>
              </w:pBdr>
              <w:tabs>
                <w:tab w:val="left" w:pos="2970"/>
              </w:tabs>
              <w:jc w:val="both"/>
              <w:rPr>
                <w:color w:val="000000"/>
                <w:sz w:val="22"/>
                <w:szCs w:val="22"/>
              </w:rPr>
            </w:pPr>
          </w:p>
          <w:p w14:paraId="69A8D59E" w14:textId="77777777" w:rsidR="003A61D4" w:rsidRDefault="003A61D4">
            <w:pPr>
              <w:pBdr>
                <w:top w:val="nil"/>
                <w:left w:val="nil"/>
                <w:bottom w:val="nil"/>
                <w:right w:val="nil"/>
                <w:between w:val="nil"/>
              </w:pBdr>
              <w:tabs>
                <w:tab w:val="left" w:pos="2970"/>
              </w:tabs>
              <w:jc w:val="both"/>
              <w:rPr>
                <w:color w:val="000000"/>
                <w:sz w:val="22"/>
                <w:szCs w:val="22"/>
              </w:rPr>
            </w:pPr>
          </w:p>
        </w:tc>
        <w:tc>
          <w:tcPr>
            <w:tcW w:w="6628" w:type="dxa"/>
          </w:tcPr>
          <w:p w14:paraId="0D180A68"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The Borrower, Buyer and/or their affiliates will not syndicate or issue or act as guarantor for, attempt to syndicate to issue, announce or authorize the announcement of the syndication or issuance of, or engage in discussions regarding the syndication or issuance of, any debt facility or debt securities in the domestic or international debt or capital markets between the date of the written offer of the Arranger and the Closing Date.</w:t>
            </w:r>
          </w:p>
          <w:p w14:paraId="6E5402DB" w14:textId="77777777" w:rsidR="003A61D4" w:rsidRDefault="003A61D4">
            <w:pPr>
              <w:pBdr>
                <w:top w:val="nil"/>
                <w:left w:val="nil"/>
                <w:bottom w:val="nil"/>
                <w:right w:val="nil"/>
                <w:between w:val="nil"/>
              </w:pBdr>
              <w:jc w:val="both"/>
              <w:rPr>
                <w:color w:val="000000"/>
                <w:sz w:val="22"/>
                <w:szCs w:val="22"/>
              </w:rPr>
            </w:pPr>
          </w:p>
        </w:tc>
      </w:tr>
      <w:tr w:rsidR="003A61D4" w14:paraId="63CDDCD6" w14:textId="77777777">
        <w:trPr>
          <w:trHeight w:val="2154"/>
        </w:trPr>
        <w:tc>
          <w:tcPr>
            <w:tcW w:w="2599" w:type="dxa"/>
          </w:tcPr>
          <w:p w14:paraId="6B4A4953"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Market Conditions:</w:t>
            </w:r>
          </w:p>
        </w:tc>
        <w:tc>
          <w:tcPr>
            <w:tcW w:w="6628" w:type="dxa"/>
          </w:tcPr>
          <w:p w14:paraId="1BEBF3A2"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If at any time after the date of the written offer the Arranger determine that changes to the structure, terms and/or pricing of the Facility are advisable </w:t>
            </w:r>
            <w:proofErr w:type="gramStart"/>
            <w:r>
              <w:rPr>
                <w:rFonts w:eastAsia="Times New Roman"/>
                <w:color w:val="000000"/>
                <w:sz w:val="22"/>
                <w:szCs w:val="22"/>
              </w:rPr>
              <w:t>in order to</w:t>
            </w:r>
            <w:proofErr w:type="gramEnd"/>
            <w:r>
              <w:rPr>
                <w:rFonts w:eastAsia="Times New Roman"/>
                <w:color w:val="000000"/>
                <w:sz w:val="22"/>
                <w:szCs w:val="22"/>
              </w:rPr>
              <w:t xml:space="preserve"> ensure a successful syndication of the Facility, the Arranger will negotiate with the Borrower and the Sponsor such changes in good faith for a period of up to seven (7) business days.  If the Borrower, the Buyer and the Arrangers can reach no agreement, within that period, the Arranger will be entitled to terminate its commitment under the written offer.</w:t>
            </w:r>
          </w:p>
          <w:p w14:paraId="45EE58B4" w14:textId="77777777" w:rsidR="003A61D4" w:rsidRDefault="003A61D4">
            <w:pPr>
              <w:pBdr>
                <w:top w:val="nil"/>
                <w:left w:val="nil"/>
                <w:bottom w:val="nil"/>
                <w:right w:val="nil"/>
                <w:between w:val="nil"/>
              </w:pBdr>
              <w:rPr>
                <w:color w:val="000000"/>
                <w:sz w:val="22"/>
                <w:szCs w:val="22"/>
              </w:rPr>
            </w:pPr>
          </w:p>
        </w:tc>
      </w:tr>
      <w:tr w:rsidR="003A61D4" w14:paraId="7719D9A3" w14:textId="77777777">
        <w:trPr>
          <w:trHeight w:val="1080"/>
        </w:trPr>
        <w:tc>
          <w:tcPr>
            <w:tcW w:w="2599" w:type="dxa"/>
          </w:tcPr>
          <w:p w14:paraId="6B9DE9B6"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Material Adverse</w:t>
            </w:r>
          </w:p>
          <w:p w14:paraId="241BE182"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Change:</w:t>
            </w:r>
          </w:p>
        </w:tc>
        <w:tc>
          <w:tcPr>
            <w:tcW w:w="6628" w:type="dxa"/>
          </w:tcPr>
          <w:p w14:paraId="5CA6EB67"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The terms and conditions of the offer shall be subject to, in the opinion of the Arranger, (</w:t>
            </w:r>
            <w:proofErr w:type="spellStart"/>
            <w:r>
              <w:rPr>
                <w:rFonts w:eastAsia="Times New Roman"/>
                <w:color w:val="000000"/>
                <w:sz w:val="22"/>
                <w:szCs w:val="22"/>
              </w:rPr>
              <w:t>i</w:t>
            </w:r>
            <w:proofErr w:type="spellEnd"/>
            <w:r>
              <w:rPr>
                <w:rFonts w:eastAsia="Times New Roman"/>
                <w:color w:val="000000"/>
                <w:sz w:val="22"/>
                <w:szCs w:val="22"/>
              </w:rPr>
              <w:t>) there being no material adverse change in the international money or capital markets, or in the bank syndication market, (ii) there being no material adverse in the business activities and credit standing of the Borrower or the Buyer, and (iii) there being no material adverse change in the (a) international or (b) domestic, socio-political and economic situation, which could adversely affect the successful completion of this transaction.</w:t>
            </w:r>
          </w:p>
          <w:p w14:paraId="0AA1AA95" w14:textId="77777777" w:rsidR="003A61D4" w:rsidRDefault="003A61D4">
            <w:pPr>
              <w:pBdr>
                <w:top w:val="nil"/>
                <w:left w:val="nil"/>
                <w:bottom w:val="nil"/>
                <w:right w:val="nil"/>
                <w:between w:val="nil"/>
              </w:pBdr>
              <w:jc w:val="both"/>
              <w:rPr>
                <w:color w:val="000000"/>
                <w:sz w:val="22"/>
                <w:szCs w:val="22"/>
              </w:rPr>
            </w:pPr>
          </w:p>
        </w:tc>
      </w:tr>
      <w:tr w:rsidR="003A61D4" w14:paraId="4FD34C35" w14:textId="77777777">
        <w:tc>
          <w:tcPr>
            <w:tcW w:w="2599" w:type="dxa"/>
          </w:tcPr>
          <w:p w14:paraId="35BF354E"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Expenses:</w:t>
            </w:r>
          </w:p>
        </w:tc>
        <w:tc>
          <w:tcPr>
            <w:tcW w:w="6628" w:type="dxa"/>
          </w:tcPr>
          <w:p w14:paraId="036CCB2E"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 xml:space="preserve">The Borrower shall pay all legal and customary out-of-pocket expenses incurred by the Arranger in connection with the arrangement, execution </w:t>
            </w:r>
            <w:r>
              <w:rPr>
                <w:rFonts w:eastAsia="Times New Roman"/>
                <w:color w:val="000000"/>
                <w:sz w:val="22"/>
                <w:szCs w:val="22"/>
              </w:rPr>
              <w:lastRenderedPageBreak/>
              <w:t>and documentation of the Facility, irrespective of the completion of this transaction or the termination of the Arranger’s engagement.  The other out-of-pocket expenses and costs, including those for the signing ceremony, traveling and hotel accommodations for major investors including the Arranger and administration by the Arranger, are also payable by the Borrower irrespective of the completion of this transaction or the termination of the Coordinating Arrangers’ commitment.</w:t>
            </w:r>
          </w:p>
          <w:p w14:paraId="7FBB4F04"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434BFD8" w14:textId="77777777">
        <w:tc>
          <w:tcPr>
            <w:tcW w:w="2599" w:type="dxa"/>
          </w:tcPr>
          <w:p w14:paraId="781F5B8D"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lastRenderedPageBreak/>
              <w:t>Taxation:</w:t>
            </w:r>
          </w:p>
        </w:tc>
        <w:tc>
          <w:tcPr>
            <w:tcW w:w="6628" w:type="dxa"/>
          </w:tcPr>
          <w:p w14:paraId="6608294E"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All payments by the Borrower and/or Guarantor in relation to the Facility shall be made free and clear of any present and future taxes, tax duties, levies, withholdings or other deductions or charges of whatever nature imposed, assessed, collected, levied or withheld.  Any such taxes, levies or deductions will be for the account of the Borrower and/or Guarantor, which will be required to gross-up payments such that the Lenders will receive the same net amount as if no such tax, levy or deduction were to have been levied.</w:t>
            </w:r>
          </w:p>
          <w:p w14:paraId="6225838E" w14:textId="77777777" w:rsidR="003A61D4" w:rsidRDefault="003A61D4">
            <w:pPr>
              <w:pBdr>
                <w:top w:val="nil"/>
                <w:left w:val="nil"/>
                <w:bottom w:val="nil"/>
                <w:right w:val="nil"/>
                <w:between w:val="nil"/>
              </w:pBdr>
              <w:jc w:val="both"/>
              <w:rPr>
                <w:color w:val="000000"/>
                <w:sz w:val="22"/>
                <w:szCs w:val="22"/>
              </w:rPr>
            </w:pPr>
          </w:p>
        </w:tc>
      </w:tr>
      <w:tr w:rsidR="003A61D4" w14:paraId="21E60438" w14:textId="77777777">
        <w:tc>
          <w:tcPr>
            <w:tcW w:w="2599" w:type="dxa"/>
          </w:tcPr>
          <w:p w14:paraId="06B09278"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Increased Costs:</w:t>
            </w:r>
          </w:p>
        </w:tc>
        <w:tc>
          <w:tcPr>
            <w:tcW w:w="6628" w:type="dxa"/>
          </w:tcPr>
          <w:p w14:paraId="3EEFC6A2"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 xml:space="preserve">The Borrower will pay to the Lenders any increased cost incurred by the Lenders </w:t>
            </w:r>
            <w:proofErr w:type="gramStart"/>
            <w:r>
              <w:rPr>
                <w:rFonts w:eastAsia="Times New Roman"/>
                <w:color w:val="000000"/>
                <w:sz w:val="22"/>
                <w:szCs w:val="22"/>
              </w:rPr>
              <w:t>as a result of</w:t>
            </w:r>
            <w:proofErr w:type="gramEnd"/>
            <w:r>
              <w:rPr>
                <w:rFonts w:eastAsia="Times New Roman"/>
                <w:color w:val="000000"/>
                <w:sz w:val="22"/>
                <w:szCs w:val="22"/>
              </w:rPr>
              <w:t xml:space="preserve"> the introduction of or any change in (or in the interpretation or application of) any law or regulation after the date of the Facility Agreement.</w:t>
            </w:r>
          </w:p>
          <w:p w14:paraId="0FA401CE"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7ACC386D" w14:textId="77777777">
        <w:tc>
          <w:tcPr>
            <w:tcW w:w="2599" w:type="dxa"/>
          </w:tcPr>
          <w:p w14:paraId="103C9DA8" w14:textId="77777777" w:rsidR="003A61D4" w:rsidRDefault="00000000">
            <w:pPr>
              <w:keepLines/>
              <w:pBdr>
                <w:top w:val="nil"/>
                <w:left w:val="nil"/>
                <w:bottom w:val="nil"/>
                <w:right w:val="nil"/>
                <w:between w:val="nil"/>
              </w:pBdr>
              <w:jc w:val="both"/>
              <w:rPr>
                <w:color w:val="000000"/>
                <w:sz w:val="22"/>
                <w:szCs w:val="22"/>
              </w:rPr>
            </w:pPr>
            <w:r>
              <w:rPr>
                <w:rFonts w:eastAsia="Times New Roman"/>
                <w:b/>
                <w:color w:val="000000"/>
                <w:sz w:val="22"/>
                <w:szCs w:val="22"/>
              </w:rPr>
              <w:t>Amendments and</w:t>
            </w:r>
          </w:p>
          <w:p w14:paraId="0078EA30" w14:textId="77777777" w:rsidR="003A61D4" w:rsidRDefault="00000000">
            <w:pPr>
              <w:pBdr>
                <w:top w:val="nil"/>
                <w:left w:val="nil"/>
                <w:bottom w:val="nil"/>
                <w:right w:val="nil"/>
                <w:between w:val="nil"/>
              </w:pBdr>
              <w:tabs>
                <w:tab w:val="left" w:pos="2970"/>
              </w:tabs>
              <w:jc w:val="both"/>
              <w:rPr>
                <w:color w:val="000000"/>
                <w:sz w:val="22"/>
                <w:szCs w:val="22"/>
              </w:rPr>
            </w:pPr>
            <w:r>
              <w:rPr>
                <w:rFonts w:eastAsia="Times New Roman"/>
                <w:b/>
                <w:color w:val="000000"/>
                <w:sz w:val="22"/>
                <w:szCs w:val="22"/>
              </w:rPr>
              <w:t>Waivers:</w:t>
            </w:r>
          </w:p>
        </w:tc>
        <w:tc>
          <w:tcPr>
            <w:tcW w:w="6628" w:type="dxa"/>
          </w:tcPr>
          <w:p w14:paraId="39BCD0BC"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Amendments to the Facility documentation will require the approval of the “Majority Lenders” (representing not less than 2/3 of the Lenders (by aggregate commitment and/or outstanding)) with the customary exceptions that will require the consent of all Lenders.</w:t>
            </w:r>
          </w:p>
          <w:p w14:paraId="1BA096F7" w14:textId="77777777" w:rsidR="003A61D4" w:rsidRDefault="003A61D4">
            <w:pPr>
              <w:pBdr>
                <w:top w:val="nil"/>
                <w:left w:val="nil"/>
                <w:bottom w:val="nil"/>
                <w:right w:val="nil"/>
                <w:between w:val="nil"/>
              </w:pBdr>
              <w:jc w:val="both"/>
              <w:rPr>
                <w:color w:val="000000"/>
                <w:sz w:val="22"/>
                <w:szCs w:val="22"/>
              </w:rPr>
            </w:pPr>
          </w:p>
        </w:tc>
      </w:tr>
      <w:tr w:rsidR="003A61D4" w14:paraId="4EDEA8B9" w14:textId="77777777">
        <w:tc>
          <w:tcPr>
            <w:tcW w:w="2599" w:type="dxa"/>
          </w:tcPr>
          <w:p w14:paraId="079D9E5E" w14:textId="77777777" w:rsidR="003A61D4" w:rsidRDefault="00000000">
            <w:pPr>
              <w:keepLines/>
              <w:pBdr>
                <w:top w:val="nil"/>
                <w:left w:val="nil"/>
                <w:bottom w:val="nil"/>
                <w:right w:val="nil"/>
                <w:between w:val="nil"/>
              </w:pBdr>
              <w:jc w:val="both"/>
              <w:rPr>
                <w:color w:val="000000"/>
                <w:sz w:val="22"/>
                <w:szCs w:val="22"/>
              </w:rPr>
            </w:pPr>
            <w:r>
              <w:rPr>
                <w:rFonts w:eastAsia="Times New Roman"/>
                <w:b/>
                <w:color w:val="000000"/>
                <w:sz w:val="22"/>
                <w:szCs w:val="22"/>
              </w:rPr>
              <w:t>Transferability:</w:t>
            </w:r>
          </w:p>
        </w:tc>
        <w:tc>
          <w:tcPr>
            <w:tcW w:w="6628" w:type="dxa"/>
          </w:tcPr>
          <w:p w14:paraId="44D13DDC" w14:textId="77777777" w:rsidR="003A61D4" w:rsidRDefault="00000000">
            <w:pPr>
              <w:pBdr>
                <w:top w:val="nil"/>
                <w:left w:val="nil"/>
                <w:bottom w:val="nil"/>
                <w:right w:val="nil"/>
                <w:between w:val="nil"/>
              </w:pBdr>
              <w:jc w:val="both"/>
              <w:rPr>
                <w:color w:val="000000"/>
                <w:sz w:val="22"/>
                <w:szCs w:val="22"/>
              </w:rPr>
            </w:pPr>
            <w:r>
              <w:rPr>
                <w:rFonts w:eastAsia="Times New Roman"/>
                <w:color w:val="000000"/>
                <w:sz w:val="22"/>
                <w:szCs w:val="22"/>
              </w:rPr>
              <w:t>The Lenders and each of them may assign any of their rights or transfer any of their rights and obligations to another bank or financial institution or to a trust, fund or other entity which is regularly engaged in or established for the purpose of making, purchasing, or investing in loans, securities or other financial assets.</w:t>
            </w:r>
          </w:p>
          <w:p w14:paraId="2A3F063A" w14:textId="77777777" w:rsidR="003A61D4" w:rsidRDefault="003A61D4">
            <w:pPr>
              <w:pBdr>
                <w:top w:val="nil"/>
                <w:left w:val="nil"/>
                <w:bottom w:val="nil"/>
                <w:right w:val="nil"/>
                <w:between w:val="nil"/>
              </w:pBdr>
              <w:jc w:val="both"/>
              <w:rPr>
                <w:color w:val="000000"/>
                <w:sz w:val="22"/>
                <w:szCs w:val="22"/>
              </w:rPr>
            </w:pPr>
          </w:p>
        </w:tc>
      </w:tr>
      <w:tr w:rsidR="003A61D4" w14:paraId="72794C37" w14:textId="77777777">
        <w:trPr>
          <w:trHeight w:val="278"/>
        </w:trPr>
        <w:tc>
          <w:tcPr>
            <w:tcW w:w="2599" w:type="dxa"/>
          </w:tcPr>
          <w:p w14:paraId="4EFBB040" w14:textId="77777777" w:rsidR="003A61D4" w:rsidRDefault="00000000">
            <w:pPr>
              <w:keepLines/>
              <w:pBdr>
                <w:top w:val="nil"/>
                <w:left w:val="nil"/>
                <w:bottom w:val="nil"/>
                <w:right w:val="nil"/>
                <w:between w:val="nil"/>
              </w:pBdr>
              <w:jc w:val="both"/>
              <w:rPr>
                <w:color w:val="000000"/>
                <w:sz w:val="22"/>
                <w:szCs w:val="22"/>
              </w:rPr>
            </w:pPr>
            <w:r>
              <w:rPr>
                <w:rFonts w:eastAsia="Times New Roman"/>
                <w:b/>
                <w:color w:val="000000"/>
                <w:sz w:val="22"/>
                <w:szCs w:val="22"/>
              </w:rPr>
              <w:t>Lenders' Counsel:</w:t>
            </w:r>
          </w:p>
        </w:tc>
        <w:tc>
          <w:tcPr>
            <w:tcW w:w="6628" w:type="dxa"/>
          </w:tcPr>
          <w:p w14:paraId="28A5686F"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To be determined.</w:t>
            </w:r>
          </w:p>
          <w:p w14:paraId="6CA4345A"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r w:rsidR="003A61D4" w14:paraId="57537CB9" w14:textId="77777777">
        <w:trPr>
          <w:trHeight w:val="277"/>
        </w:trPr>
        <w:tc>
          <w:tcPr>
            <w:tcW w:w="2599" w:type="dxa"/>
          </w:tcPr>
          <w:p w14:paraId="326DCCFF" w14:textId="77777777" w:rsidR="003A61D4" w:rsidRDefault="00000000">
            <w:pPr>
              <w:keepLines/>
              <w:pBdr>
                <w:top w:val="nil"/>
                <w:left w:val="nil"/>
                <w:bottom w:val="nil"/>
                <w:right w:val="nil"/>
                <w:between w:val="nil"/>
              </w:pBdr>
              <w:jc w:val="both"/>
              <w:rPr>
                <w:color w:val="000000"/>
                <w:sz w:val="22"/>
                <w:szCs w:val="22"/>
              </w:rPr>
            </w:pPr>
            <w:r>
              <w:rPr>
                <w:rFonts w:eastAsia="Times New Roman"/>
                <w:b/>
                <w:color w:val="000000"/>
                <w:sz w:val="22"/>
                <w:szCs w:val="22"/>
              </w:rPr>
              <w:t>Governing Law</w:t>
            </w:r>
          </w:p>
        </w:tc>
        <w:tc>
          <w:tcPr>
            <w:tcW w:w="6628" w:type="dxa"/>
          </w:tcPr>
          <w:p w14:paraId="395E2595" w14:textId="77777777" w:rsidR="003A61D4" w:rsidRDefault="00000000">
            <w:pPr>
              <w:pBdr>
                <w:top w:val="nil"/>
                <w:left w:val="nil"/>
                <w:bottom w:val="nil"/>
                <w:right w:val="nil"/>
                <w:between w:val="nil"/>
              </w:pBdr>
              <w:tabs>
                <w:tab w:val="left" w:pos="-720"/>
              </w:tabs>
              <w:spacing w:line="360" w:lineRule="auto"/>
              <w:jc w:val="both"/>
              <w:rPr>
                <w:color w:val="000000"/>
                <w:sz w:val="22"/>
                <w:szCs w:val="22"/>
              </w:rPr>
            </w:pPr>
            <w:r>
              <w:rPr>
                <w:rFonts w:eastAsia="Times New Roman"/>
                <w:color w:val="000000"/>
                <w:sz w:val="22"/>
                <w:szCs w:val="22"/>
              </w:rPr>
              <w:t>To be determined.</w:t>
            </w:r>
          </w:p>
          <w:p w14:paraId="6BD4A1E3" w14:textId="77777777" w:rsidR="003A61D4" w:rsidRDefault="003A61D4">
            <w:pPr>
              <w:pBdr>
                <w:top w:val="nil"/>
                <w:left w:val="nil"/>
                <w:bottom w:val="nil"/>
                <w:right w:val="nil"/>
                <w:between w:val="nil"/>
              </w:pBdr>
              <w:tabs>
                <w:tab w:val="left" w:pos="-720"/>
              </w:tabs>
              <w:spacing w:line="360" w:lineRule="auto"/>
              <w:jc w:val="both"/>
              <w:rPr>
                <w:color w:val="000000"/>
                <w:sz w:val="22"/>
                <w:szCs w:val="22"/>
              </w:rPr>
            </w:pPr>
          </w:p>
        </w:tc>
      </w:tr>
    </w:tbl>
    <w:p w14:paraId="38E49767" w14:textId="77777777" w:rsidR="003A61D4" w:rsidRDefault="003A61D4">
      <w:pPr>
        <w:pBdr>
          <w:top w:val="nil"/>
          <w:left w:val="nil"/>
          <w:bottom w:val="nil"/>
          <w:right w:val="nil"/>
          <w:between w:val="nil"/>
        </w:pBdr>
        <w:ind w:left="2552" w:hanging="2552"/>
        <w:jc w:val="both"/>
        <w:rPr>
          <w:color w:val="000000"/>
        </w:rPr>
      </w:pPr>
    </w:p>
    <w:sectPr w:rsidR="003A61D4">
      <w:headerReference w:type="even" r:id="rId7"/>
      <w:headerReference w:type="default" r:id="rId8"/>
      <w:footerReference w:type="default" r:id="rId9"/>
      <w:headerReference w:type="first" r:id="rId10"/>
      <w:footerReference w:type="first" r:id="rId11"/>
      <w:pgSz w:w="11909" w:h="16834"/>
      <w:pgMar w:top="1985" w:right="1440" w:bottom="567" w:left="1440" w:header="851"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6826E" w14:textId="77777777" w:rsidR="003E7ACE" w:rsidRDefault="003E7ACE">
      <w:r>
        <w:separator/>
      </w:r>
    </w:p>
  </w:endnote>
  <w:endnote w:type="continuationSeparator" w:id="0">
    <w:p w14:paraId="5E11980B" w14:textId="77777777" w:rsidR="003E7ACE" w:rsidRDefault="003E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함초롬바탕">
    <w:panose1 w:val="020B0804000101010101"/>
    <w:charset w:val="81"/>
    <w:family w:val="roman"/>
    <w:pitch w:val="variable"/>
    <w:sig w:usb0="F7002EFF" w:usb1="19DFFFFF" w:usb2="001BFDD7" w:usb3="00000000" w:csb0="001F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F3F0" w14:textId="77777777" w:rsidR="003A61D4" w:rsidRDefault="00000000">
    <w:pPr>
      <w:pBdr>
        <w:top w:val="nil"/>
        <w:left w:val="nil"/>
        <w:bottom w:val="nil"/>
        <w:right w:val="nil"/>
        <w:between w:val="nil"/>
      </w:pBdr>
      <w:spacing w:before="428"/>
      <w:ind w:firstLine="3800"/>
      <w:jc w:val="right"/>
      <w:rPr>
        <w:color w:val="000000"/>
        <w:sz w:val="22"/>
        <w:szCs w:val="22"/>
      </w:rPr>
    </w:pPr>
    <w:r>
      <w:rPr>
        <w:rFonts w:eastAsia="Times New Roman"/>
        <w:i/>
        <w:color w:val="000000"/>
      </w:rPr>
      <w:t>Strictly Private and Confidential</w:t>
    </w:r>
  </w:p>
  <w:p w14:paraId="1C643194" w14:textId="77777777" w:rsidR="003A61D4" w:rsidRDefault="00000000">
    <w:pPr>
      <w:pBdr>
        <w:top w:val="nil"/>
        <w:left w:val="nil"/>
        <w:bottom w:val="nil"/>
        <w:right w:val="nil"/>
        <w:between w:val="nil"/>
      </w:pBdr>
      <w:tabs>
        <w:tab w:val="center" w:pos="4513"/>
      </w:tabs>
      <w:jc w:val="both"/>
      <w:rPr>
        <w:color w:val="000000"/>
        <w:sz w:val="22"/>
        <w:szCs w:val="22"/>
      </w:rPr>
    </w:pPr>
    <w:r>
      <w:rPr>
        <w:rFonts w:eastAsia="Times New Roman"/>
        <w:color w:val="000000"/>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9E51" w14:textId="77777777" w:rsidR="003A61D4" w:rsidRDefault="00000000">
    <w:pPr>
      <w:pBdr>
        <w:top w:val="nil"/>
        <w:left w:val="nil"/>
        <w:bottom w:val="nil"/>
        <w:right w:val="nil"/>
        <w:between w:val="nil"/>
      </w:pBdr>
      <w:tabs>
        <w:tab w:val="center" w:pos="4153"/>
        <w:tab w:val="right" w:pos="8306"/>
      </w:tabs>
      <w:ind w:firstLine="4200"/>
      <w:jc w:val="right"/>
      <w:rPr>
        <w:rFonts w:ascii="CG Times" w:eastAsia="CG Times" w:hAnsi="CG Times" w:cs="CG Times"/>
        <w:color w:val="000000"/>
      </w:rPr>
    </w:pPr>
    <w:r>
      <w:rPr>
        <w:rFonts w:ascii="CG Times" w:eastAsia="CG Times" w:hAnsi="CG Times" w:cs="CG Times"/>
        <w:i/>
        <w:color w:val="000000"/>
      </w:rPr>
      <w:t>Strictly Private and 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F6BA6" w14:textId="77777777" w:rsidR="003E7ACE" w:rsidRDefault="003E7ACE">
      <w:r>
        <w:separator/>
      </w:r>
    </w:p>
  </w:footnote>
  <w:footnote w:type="continuationSeparator" w:id="0">
    <w:p w14:paraId="5FABAEA3" w14:textId="77777777" w:rsidR="003E7ACE" w:rsidRDefault="003E7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B7422" w14:textId="77777777" w:rsidR="003A61D4" w:rsidRDefault="00000000">
    <w:pPr>
      <w:pBdr>
        <w:top w:val="nil"/>
        <w:left w:val="nil"/>
        <w:bottom w:val="nil"/>
        <w:right w:val="nil"/>
        <w:between w:val="nil"/>
      </w:pBdr>
      <w:tabs>
        <w:tab w:val="center" w:pos="4153"/>
        <w:tab w:val="right" w:pos="8306"/>
      </w:tabs>
      <w:jc w:val="center"/>
      <w:rPr>
        <w:rFonts w:ascii="CG Times" w:eastAsia="CG Times" w:hAnsi="CG Times" w:cs="CG Times"/>
        <w:color w:val="000000"/>
      </w:rPr>
    </w:pPr>
    <w:r>
      <w:rPr>
        <w:rFonts w:ascii="CG Times" w:eastAsia="CG Times" w:hAnsi="CG Times" w:cs="CG Times"/>
        <w:color w:val="000000"/>
      </w:rPr>
      <w:fldChar w:fldCharType="begin"/>
    </w:r>
    <w:r>
      <w:rPr>
        <w:rFonts w:ascii="CG Times" w:eastAsia="CG Times" w:hAnsi="CG Times" w:cs="CG Times"/>
        <w:color w:val="000000"/>
      </w:rPr>
      <w:instrText>PAGE</w:instrText>
    </w:r>
    <w:r>
      <w:rPr>
        <w:rFonts w:ascii="CG Times" w:eastAsia="CG Times" w:hAnsi="CG Times" w:cs="CG Times"/>
        <w:color w:val="000000"/>
      </w:rPr>
      <w:fldChar w:fldCharType="separate"/>
    </w:r>
    <w:r>
      <w:rPr>
        <w:rFonts w:ascii="CG Times" w:eastAsia="CG Times" w:hAnsi="CG Times" w:cs="CG Times"/>
        <w:color w:val="000000"/>
      </w:rPr>
      <w:fldChar w:fldCharType="end"/>
    </w:r>
  </w:p>
  <w:p w14:paraId="44730DB9" w14:textId="77777777" w:rsidR="003A61D4" w:rsidRDefault="003A61D4">
    <w:pPr>
      <w:pBdr>
        <w:top w:val="nil"/>
        <w:left w:val="nil"/>
        <w:bottom w:val="nil"/>
        <w:right w:val="nil"/>
        <w:between w:val="nil"/>
      </w:pBdr>
      <w:tabs>
        <w:tab w:val="center" w:pos="4153"/>
        <w:tab w:val="right" w:pos="8306"/>
      </w:tabs>
      <w:rPr>
        <w:rFonts w:ascii="CG Times" w:eastAsia="CG Times" w:hAnsi="CG Times" w:cs="CG Times"/>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68B3" w14:textId="77777777" w:rsidR="003A61D4" w:rsidRDefault="00000000">
    <w:pPr>
      <w:pBdr>
        <w:top w:val="nil"/>
        <w:left w:val="nil"/>
        <w:bottom w:val="nil"/>
        <w:right w:val="nil"/>
        <w:between w:val="nil"/>
      </w:pBdr>
      <w:tabs>
        <w:tab w:val="left" w:pos="0"/>
        <w:tab w:val="center" w:pos="4152"/>
        <w:tab w:val="right" w:pos="8305"/>
        <w:tab w:val="left" w:pos="8640"/>
      </w:tabs>
      <w:ind w:right="-1410"/>
      <w:rPr>
        <w:rFonts w:ascii="CG Times" w:eastAsia="CG Times" w:hAnsi="CG Times" w:cs="CG Times"/>
        <w:color w:val="000000"/>
        <w:sz w:val="22"/>
        <w:szCs w:val="22"/>
      </w:rPr>
    </w:pPr>
    <w:r>
      <w:rPr>
        <w:noProof/>
      </w:rPr>
      <mc:AlternateContent>
        <mc:Choice Requires="wps">
          <w:drawing>
            <wp:anchor distT="0" distB="0" distL="114300" distR="114300" simplePos="0" relativeHeight="251658240" behindDoc="0" locked="0" layoutInCell="1" hidden="0" allowOverlap="1" wp14:anchorId="333DF5F6" wp14:editId="6B11B941">
              <wp:simplePos x="0" y="0"/>
              <wp:positionH relativeFrom="column">
                <wp:posOffset>1</wp:posOffset>
              </wp:positionH>
              <wp:positionV relativeFrom="paragraph">
                <wp:posOffset>622300</wp:posOffset>
              </wp:positionV>
              <wp:extent cx="5715000" cy="12700"/>
              <wp:effectExtent l="0" t="0" r="0" b="0"/>
              <wp:wrapNone/>
              <wp:docPr id="1" name="직선 화살표 연결선 1"/>
              <wp:cNvGraphicFramePr/>
              <a:graphic xmlns:a="http://schemas.openxmlformats.org/drawingml/2006/main">
                <a:graphicData uri="http://schemas.microsoft.com/office/word/2010/wordprocessingShape">
                  <wps:wsp>
                    <wps:cNvCnPr/>
                    <wps:spPr>
                      <a:xfrm>
                        <a:off x="2488500" y="3780000"/>
                        <a:ext cx="5715000" cy="0"/>
                      </a:xfrm>
                      <a:prstGeom prst="straightConnector1">
                        <a:avLst/>
                      </a:prstGeom>
                      <a:noFill/>
                      <a:ln w="12700" cap="flat" cmpd="sng">
                        <a:solidFill>
                          <a:srgbClr val="000000"/>
                        </a:solidFill>
                        <a:prstDash val="solid"/>
                        <a:miter lim="800000"/>
                        <a:headEnd type="none" w="med" len="med"/>
                        <a:tailEnd type="none" w="med" len="med"/>
                      </a:ln>
                    </wps:spPr>
                    <wps:bodyPr/>
                  </wps:wsp>
                </a:graphicData>
              </a:graphic>
            </wp:anchor>
          </w:drawing>
        </mc:Choice>
        <mc:Fallback>
          <w:pict>
            <v:shapetype w14:anchorId="20ACFAEB" id="_x0000_t32" coordsize="21600,21600" o:spt="32" o:oned="t" path="m,l21600,21600e" filled="f">
              <v:path arrowok="t" fillok="f" o:connecttype="none"/>
              <o:lock v:ext="edit" shapetype="t"/>
            </v:shapetype>
            <v:shape id="직선 화살표 연결선 1" o:spid="_x0000_s1026" type="#_x0000_t32" style="position:absolute;left:0;text-align:left;margin-left:0;margin-top:49pt;width:450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" strokeweight="1pt">
              <v:stroke joinstyle="miter"/>
            </v:shape>
          </w:pict>
        </mc:Fallback>
      </mc:AlternateContent>
    </w:r>
  </w:p>
  <w:p w14:paraId="37768BA5" w14:textId="77777777" w:rsidR="003A61D4" w:rsidRDefault="003A61D4">
    <w:pPr>
      <w:pBdr>
        <w:top w:val="nil"/>
        <w:left w:val="nil"/>
        <w:bottom w:val="nil"/>
        <w:right w:val="nil"/>
        <w:between w:val="nil"/>
      </w:pBdr>
      <w:tabs>
        <w:tab w:val="left" w:pos="0"/>
        <w:tab w:val="center" w:pos="4152"/>
        <w:tab w:val="right" w:pos="9360"/>
      </w:tabs>
      <w:rPr>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A215" w14:textId="77777777" w:rsidR="003A61D4" w:rsidRDefault="00000000">
    <w:pPr>
      <w:pBdr>
        <w:top w:val="nil"/>
        <w:left w:val="nil"/>
        <w:bottom w:val="nil"/>
        <w:right w:val="nil"/>
        <w:between w:val="nil"/>
      </w:pBdr>
      <w:tabs>
        <w:tab w:val="center" w:pos="4153"/>
        <w:tab w:val="right" w:pos="8306"/>
      </w:tabs>
      <w:rPr>
        <w:rFonts w:ascii="CG Times" w:eastAsia="CG Times" w:hAnsi="CG Times" w:cs="CG Times"/>
        <w:color w:val="000000"/>
      </w:rPr>
    </w:pPr>
    <w:r>
      <w:rPr>
        <w:noProof/>
      </w:rPr>
      <mc:AlternateContent>
        <mc:Choice Requires="wps">
          <w:drawing>
            <wp:anchor distT="0" distB="0" distL="114300" distR="114300" simplePos="0" relativeHeight="251659264" behindDoc="0" locked="0" layoutInCell="1" hidden="0" allowOverlap="1" wp14:anchorId="21FCD91E" wp14:editId="7C2219F4">
              <wp:simplePos x="0" y="0"/>
              <wp:positionH relativeFrom="column">
                <wp:posOffset>1</wp:posOffset>
              </wp:positionH>
              <wp:positionV relativeFrom="paragraph">
                <wp:posOffset>622300</wp:posOffset>
              </wp:positionV>
              <wp:extent cx="5715000" cy="12700"/>
              <wp:effectExtent l="0" t="0" r="0" b="0"/>
              <wp:wrapNone/>
              <wp:docPr id="2" name="직선 화살표 연결선 2"/>
              <wp:cNvGraphicFramePr/>
              <a:graphic xmlns:a="http://schemas.openxmlformats.org/drawingml/2006/main">
                <a:graphicData uri="http://schemas.microsoft.com/office/word/2010/wordprocessingShape">
                  <wps:wsp>
                    <wps:cNvCnPr/>
                    <wps:spPr>
                      <a:xfrm>
                        <a:off x="2488500" y="3780000"/>
                        <a:ext cx="5715000" cy="0"/>
                      </a:xfrm>
                      <a:prstGeom prst="straightConnector1">
                        <a:avLst/>
                      </a:prstGeom>
                      <a:noFill/>
                      <a:ln w="12700" cap="flat" cmpd="sng">
                        <a:solidFill>
                          <a:srgbClr val="000000"/>
                        </a:solidFill>
                        <a:prstDash val="solid"/>
                        <a:miter lim="800000"/>
                        <a:headEnd type="none" w="med" len="med"/>
                        <a:tailEnd type="none" w="med" len="med"/>
                      </a:ln>
                    </wps:spPr>
                    <wps:bodyPr/>
                  </wps:wsp>
                </a:graphicData>
              </a:graphic>
            </wp:anchor>
          </w:drawing>
        </mc:Choice>
        <mc:Fallback>
          <w:pict>
            <v:shapetype w14:anchorId="18C153E4" id="_x0000_t32" coordsize="21600,21600" o:spt="32" o:oned="t" path="m,l21600,21600e" filled="f">
              <v:path arrowok="t" fillok="f" o:connecttype="none"/>
              <o:lock v:ext="edit" shapetype="t"/>
            </v:shapetype>
            <v:shape id="직선 화살표 연결선 2" o:spid="_x0000_s1026" type="#_x0000_t32" style="position:absolute;left:0;text-align:left;margin-left:0;margin-top:49pt;width:450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" strokeweight="1pt">
              <v:stroke joinstyle="miter"/>
            </v:shape>
          </w:pict>
        </mc:Fallback>
      </mc:AlternateContent>
    </w:r>
    <w:r>
      <w:rPr>
        <w:noProof/>
      </w:rPr>
      <w:drawing>
        <wp:anchor distT="0" distB="0" distL="114300" distR="114300" simplePos="0" relativeHeight="251660288" behindDoc="0" locked="0" layoutInCell="1" hidden="0" allowOverlap="1" wp14:anchorId="434A9F79" wp14:editId="20D4CC49">
          <wp:simplePos x="0" y="0"/>
          <wp:positionH relativeFrom="column">
            <wp:posOffset>1</wp:posOffset>
          </wp:positionH>
          <wp:positionV relativeFrom="paragraph">
            <wp:posOffset>4445</wp:posOffset>
          </wp:positionV>
          <wp:extent cx="1905000" cy="423545"/>
          <wp:effectExtent l="0" t="0" r="0" b="0"/>
          <wp:wrapNone/>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905000" cy="423545"/>
                  </a:xfrm>
                  <a:prstGeom prst="rect">
                    <a:avLst/>
                  </a:prstGeom>
                  <a:ln/>
                </pic:spPr>
              </pic:pic>
            </a:graphicData>
          </a:graphic>
        </wp:anchor>
      </w:drawing>
    </w:r>
    <w:r>
      <w:rPr>
        <w:noProof/>
      </w:rPr>
      <w:drawing>
        <wp:anchor distT="0" distB="0" distL="114300" distR="114300" simplePos="0" relativeHeight="251661312" behindDoc="0" locked="0" layoutInCell="1" hidden="0" allowOverlap="1" wp14:anchorId="1EADD281" wp14:editId="0D716B5E">
          <wp:simplePos x="0" y="0"/>
          <wp:positionH relativeFrom="column">
            <wp:posOffset>3983990</wp:posOffset>
          </wp:positionH>
          <wp:positionV relativeFrom="paragraph">
            <wp:posOffset>59055</wp:posOffset>
          </wp:positionV>
          <wp:extent cx="1778000" cy="332105"/>
          <wp:effectExtent l="0" t="0" r="0" b="0"/>
          <wp:wrapNone/>
          <wp:docPr id="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
                  <a:srcRect/>
                  <a:stretch>
                    <a:fillRect/>
                  </a:stretch>
                </pic:blipFill>
                <pic:spPr>
                  <a:xfrm>
                    <a:off x="0" y="0"/>
                    <a:ext cx="1778000" cy="332105"/>
                  </a:xfrm>
                  <a:prstGeom prst="rect">
                    <a:avLst/>
                  </a:prstGeom>
                  <a:ln/>
                </pic:spPr>
              </pic:pic>
            </a:graphicData>
          </a:graphic>
        </wp:anchor>
      </w:drawing>
    </w:r>
    <w:r>
      <w:rPr>
        <w:noProof/>
      </w:rPr>
      <w:drawing>
        <wp:anchor distT="0" distB="0" distL="114300" distR="114300" simplePos="0" relativeHeight="251662336" behindDoc="0" locked="0" layoutInCell="1" hidden="0" allowOverlap="1" wp14:anchorId="5330BA15" wp14:editId="0F5F95AB">
          <wp:simplePos x="0" y="0"/>
          <wp:positionH relativeFrom="column">
            <wp:posOffset>1901825</wp:posOffset>
          </wp:positionH>
          <wp:positionV relativeFrom="paragraph">
            <wp:posOffset>29210</wp:posOffset>
          </wp:positionV>
          <wp:extent cx="1968500" cy="34544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1968500" cy="34544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0F6728"/>
    <w:multiLevelType w:val="multilevel"/>
    <w:tmpl w:val="5B82ECE4"/>
    <w:lvl w:ilvl="0">
      <w:start w:val="1"/>
      <w:numFmt w:val="lowerRoman"/>
      <w:lvlText w:val="%1)"/>
      <w:lvlJc w:val="left"/>
      <w:pPr>
        <w:ind w:left="1120" w:hanging="720"/>
      </w:pPr>
      <w:rPr>
        <w:vertAlign w:val="baseline"/>
      </w:rPr>
    </w:lvl>
    <w:lvl w:ilvl="1">
      <w:start w:val="1"/>
      <w:numFmt w:val="upperLetter"/>
      <w:lvlText w:val="%2."/>
      <w:lvlJc w:val="left"/>
      <w:pPr>
        <w:ind w:left="1200" w:hanging="400"/>
      </w:pPr>
      <w:rPr>
        <w:vertAlign w:val="baseline"/>
      </w:rPr>
    </w:lvl>
    <w:lvl w:ilvl="2">
      <w:start w:val="1"/>
      <w:numFmt w:val="lowerRoman"/>
      <w:lvlText w:val="%3."/>
      <w:lvlJc w:val="right"/>
      <w:pPr>
        <w:ind w:left="1600" w:hanging="400"/>
      </w:pPr>
      <w:rPr>
        <w:vertAlign w:val="baseline"/>
      </w:rPr>
    </w:lvl>
    <w:lvl w:ilvl="3">
      <w:start w:val="1"/>
      <w:numFmt w:val="decimal"/>
      <w:lvlText w:val="%4."/>
      <w:lvlJc w:val="left"/>
      <w:pPr>
        <w:ind w:left="2000" w:hanging="400"/>
      </w:pPr>
      <w:rPr>
        <w:vertAlign w:val="baseline"/>
      </w:rPr>
    </w:lvl>
    <w:lvl w:ilvl="4">
      <w:start w:val="1"/>
      <w:numFmt w:val="upperLetter"/>
      <w:lvlText w:val="%5."/>
      <w:lvlJc w:val="left"/>
      <w:pPr>
        <w:ind w:left="2400" w:hanging="400"/>
      </w:pPr>
      <w:rPr>
        <w:vertAlign w:val="baseline"/>
      </w:rPr>
    </w:lvl>
    <w:lvl w:ilvl="5">
      <w:start w:val="1"/>
      <w:numFmt w:val="lowerRoman"/>
      <w:lvlText w:val="%6."/>
      <w:lvlJc w:val="right"/>
      <w:pPr>
        <w:ind w:left="2800" w:hanging="400"/>
      </w:pPr>
      <w:rPr>
        <w:vertAlign w:val="baseline"/>
      </w:rPr>
    </w:lvl>
    <w:lvl w:ilvl="6">
      <w:start w:val="1"/>
      <w:numFmt w:val="decimal"/>
      <w:lvlText w:val="%7."/>
      <w:lvlJc w:val="left"/>
      <w:pPr>
        <w:ind w:left="3200" w:hanging="400"/>
      </w:pPr>
      <w:rPr>
        <w:vertAlign w:val="baseline"/>
      </w:rPr>
    </w:lvl>
    <w:lvl w:ilvl="7">
      <w:start w:val="1"/>
      <w:numFmt w:val="upperLetter"/>
      <w:lvlText w:val="%8."/>
      <w:lvlJc w:val="left"/>
      <w:pPr>
        <w:ind w:left="3600" w:hanging="400"/>
      </w:pPr>
      <w:rPr>
        <w:vertAlign w:val="baseline"/>
      </w:rPr>
    </w:lvl>
    <w:lvl w:ilvl="8">
      <w:start w:val="1"/>
      <w:numFmt w:val="lowerRoman"/>
      <w:lvlText w:val="%9."/>
      <w:lvlJc w:val="right"/>
      <w:pPr>
        <w:ind w:left="4000" w:hanging="400"/>
      </w:pPr>
      <w:rPr>
        <w:vertAlign w:val="baseline"/>
      </w:rPr>
    </w:lvl>
  </w:abstractNum>
  <w:abstractNum w:abstractNumId="1" w15:restartNumberingAfterBreak="0">
    <w:nsid w:val="398E3B36"/>
    <w:multiLevelType w:val="hybridMultilevel"/>
    <w:tmpl w:val="E70446AA"/>
    <w:lvl w:ilvl="0" w:tplc="5A84F28E">
      <w:numFmt w:val="bullet"/>
      <w:lvlText w:val="○"/>
      <w:lvlJc w:val="left"/>
      <w:pPr>
        <w:ind w:left="800" w:hanging="360"/>
      </w:pPr>
      <w:rPr>
        <w:rFonts w:ascii="함초롬바탕" w:eastAsia="함초롬바탕" w:hAnsi="함초롬바탕" w:cs="함초롬바탕" w:hint="eastAsia"/>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D6462F6"/>
    <w:multiLevelType w:val="multilevel"/>
    <w:tmpl w:val="7430CC12"/>
    <w:lvl w:ilvl="0">
      <w:start w:val="6"/>
      <w:numFmt w:val="lowerRoman"/>
      <w:lvlText w:val="%1)"/>
      <w:lvlJc w:val="left"/>
      <w:pPr>
        <w:ind w:left="1120" w:hanging="720"/>
      </w:pPr>
      <w:rPr>
        <w:vertAlign w:val="baseline"/>
      </w:rPr>
    </w:lvl>
    <w:lvl w:ilvl="1">
      <w:start w:val="1"/>
      <w:numFmt w:val="upperLetter"/>
      <w:lvlText w:val="%2."/>
      <w:lvlJc w:val="left"/>
      <w:pPr>
        <w:ind w:left="1200" w:hanging="400"/>
      </w:pPr>
      <w:rPr>
        <w:vertAlign w:val="baseline"/>
      </w:rPr>
    </w:lvl>
    <w:lvl w:ilvl="2">
      <w:start w:val="1"/>
      <w:numFmt w:val="lowerRoman"/>
      <w:lvlText w:val="%3."/>
      <w:lvlJc w:val="right"/>
      <w:pPr>
        <w:ind w:left="1600" w:hanging="400"/>
      </w:pPr>
      <w:rPr>
        <w:vertAlign w:val="baseline"/>
      </w:rPr>
    </w:lvl>
    <w:lvl w:ilvl="3">
      <w:start w:val="1"/>
      <w:numFmt w:val="decimal"/>
      <w:lvlText w:val="%4."/>
      <w:lvlJc w:val="left"/>
      <w:pPr>
        <w:ind w:left="2000" w:hanging="400"/>
      </w:pPr>
      <w:rPr>
        <w:vertAlign w:val="baseline"/>
      </w:rPr>
    </w:lvl>
    <w:lvl w:ilvl="4">
      <w:start w:val="1"/>
      <w:numFmt w:val="upperLetter"/>
      <w:lvlText w:val="%5."/>
      <w:lvlJc w:val="left"/>
      <w:pPr>
        <w:ind w:left="2400" w:hanging="400"/>
      </w:pPr>
      <w:rPr>
        <w:vertAlign w:val="baseline"/>
      </w:rPr>
    </w:lvl>
    <w:lvl w:ilvl="5">
      <w:start w:val="1"/>
      <w:numFmt w:val="lowerRoman"/>
      <w:lvlText w:val="%6."/>
      <w:lvlJc w:val="right"/>
      <w:pPr>
        <w:ind w:left="2800" w:hanging="400"/>
      </w:pPr>
      <w:rPr>
        <w:vertAlign w:val="baseline"/>
      </w:rPr>
    </w:lvl>
    <w:lvl w:ilvl="6">
      <w:start w:val="1"/>
      <w:numFmt w:val="decimal"/>
      <w:lvlText w:val="%7."/>
      <w:lvlJc w:val="left"/>
      <w:pPr>
        <w:ind w:left="3200" w:hanging="400"/>
      </w:pPr>
      <w:rPr>
        <w:vertAlign w:val="baseline"/>
      </w:rPr>
    </w:lvl>
    <w:lvl w:ilvl="7">
      <w:start w:val="1"/>
      <w:numFmt w:val="upperLetter"/>
      <w:lvlText w:val="%8."/>
      <w:lvlJc w:val="left"/>
      <w:pPr>
        <w:ind w:left="3600" w:hanging="400"/>
      </w:pPr>
      <w:rPr>
        <w:vertAlign w:val="baseline"/>
      </w:rPr>
    </w:lvl>
    <w:lvl w:ilvl="8">
      <w:start w:val="1"/>
      <w:numFmt w:val="lowerRoman"/>
      <w:lvlText w:val="%9."/>
      <w:lvlJc w:val="right"/>
      <w:pPr>
        <w:ind w:left="4000" w:hanging="400"/>
      </w:pPr>
      <w:rPr>
        <w:vertAlign w:val="baseline"/>
      </w:rPr>
    </w:lvl>
  </w:abstractNum>
  <w:abstractNum w:abstractNumId="3" w15:restartNumberingAfterBreak="0">
    <w:nsid w:val="5F9808DC"/>
    <w:multiLevelType w:val="multilevel"/>
    <w:tmpl w:val="1C52BBB6"/>
    <w:lvl w:ilvl="0">
      <w:start w:val="1"/>
      <w:numFmt w:val="lowerRoman"/>
      <w:lvlText w:val="%1)"/>
      <w:lvlJc w:val="left"/>
      <w:pPr>
        <w:ind w:left="1120" w:hanging="720"/>
      </w:pPr>
      <w:rPr>
        <w:vertAlign w:val="baseline"/>
      </w:rPr>
    </w:lvl>
    <w:lvl w:ilvl="1">
      <w:start w:val="1"/>
      <w:numFmt w:val="upperLetter"/>
      <w:lvlText w:val="%2."/>
      <w:lvlJc w:val="left"/>
      <w:pPr>
        <w:ind w:left="1200" w:hanging="400"/>
      </w:pPr>
      <w:rPr>
        <w:vertAlign w:val="baseline"/>
      </w:rPr>
    </w:lvl>
    <w:lvl w:ilvl="2">
      <w:start w:val="1"/>
      <w:numFmt w:val="lowerRoman"/>
      <w:lvlText w:val="%3."/>
      <w:lvlJc w:val="right"/>
      <w:pPr>
        <w:ind w:left="1600" w:hanging="400"/>
      </w:pPr>
      <w:rPr>
        <w:vertAlign w:val="baseline"/>
      </w:rPr>
    </w:lvl>
    <w:lvl w:ilvl="3">
      <w:start w:val="1"/>
      <w:numFmt w:val="decimal"/>
      <w:lvlText w:val="%4."/>
      <w:lvlJc w:val="left"/>
      <w:pPr>
        <w:ind w:left="2000" w:hanging="400"/>
      </w:pPr>
      <w:rPr>
        <w:vertAlign w:val="baseline"/>
      </w:rPr>
    </w:lvl>
    <w:lvl w:ilvl="4">
      <w:start w:val="1"/>
      <w:numFmt w:val="upperLetter"/>
      <w:lvlText w:val="%5."/>
      <w:lvlJc w:val="left"/>
      <w:pPr>
        <w:ind w:left="2400" w:hanging="400"/>
      </w:pPr>
      <w:rPr>
        <w:vertAlign w:val="baseline"/>
      </w:rPr>
    </w:lvl>
    <w:lvl w:ilvl="5">
      <w:start w:val="1"/>
      <w:numFmt w:val="lowerRoman"/>
      <w:lvlText w:val="%6."/>
      <w:lvlJc w:val="right"/>
      <w:pPr>
        <w:ind w:left="2800" w:hanging="400"/>
      </w:pPr>
      <w:rPr>
        <w:vertAlign w:val="baseline"/>
      </w:rPr>
    </w:lvl>
    <w:lvl w:ilvl="6">
      <w:start w:val="1"/>
      <w:numFmt w:val="decimal"/>
      <w:lvlText w:val="%7."/>
      <w:lvlJc w:val="left"/>
      <w:pPr>
        <w:ind w:left="3200" w:hanging="400"/>
      </w:pPr>
      <w:rPr>
        <w:vertAlign w:val="baseline"/>
      </w:rPr>
    </w:lvl>
    <w:lvl w:ilvl="7">
      <w:start w:val="1"/>
      <w:numFmt w:val="upperLetter"/>
      <w:lvlText w:val="%8."/>
      <w:lvlJc w:val="left"/>
      <w:pPr>
        <w:ind w:left="3600" w:hanging="400"/>
      </w:pPr>
      <w:rPr>
        <w:vertAlign w:val="baseline"/>
      </w:rPr>
    </w:lvl>
    <w:lvl w:ilvl="8">
      <w:start w:val="1"/>
      <w:numFmt w:val="lowerRoman"/>
      <w:lvlText w:val="%9."/>
      <w:lvlJc w:val="right"/>
      <w:pPr>
        <w:ind w:left="4000" w:hanging="400"/>
      </w:pPr>
      <w:rPr>
        <w:vertAlign w:val="baseline"/>
      </w:rPr>
    </w:lvl>
  </w:abstractNum>
  <w:abstractNum w:abstractNumId="4" w15:restartNumberingAfterBreak="0">
    <w:nsid w:val="70D03252"/>
    <w:multiLevelType w:val="multilevel"/>
    <w:tmpl w:val="43E87134"/>
    <w:lvl w:ilvl="0">
      <w:start w:val="1"/>
      <w:numFmt w:val="lowerRoman"/>
      <w:lvlText w:val="%1)"/>
      <w:lvlJc w:val="left"/>
      <w:pPr>
        <w:ind w:left="1120" w:hanging="720"/>
      </w:pPr>
      <w:rPr>
        <w:b w:val="0"/>
        <w:i w:val="0"/>
        <w:vertAlign w:val="baseline"/>
      </w:rPr>
    </w:lvl>
    <w:lvl w:ilvl="1">
      <w:start w:val="1"/>
      <w:numFmt w:val="upperLetter"/>
      <w:lvlText w:val="%2."/>
      <w:lvlJc w:val="left"/>
      <w:pPr>
        <w:ind w:left="1600" w:hanging="400"/>
      </w:pPr>
      <w:rPr>
        <w:vertAlign w:val="baseline"/>
      </w:rPr>
    </w:lvl>
    <w:lvl w:ilvl="2">
      <w:start w:val="1"/>
      <w:numFmt w:val="lowerRoman"/>
      <w:lvlText w:val="%3."/>
      <w:lvlJc w:val="right"/>
      <w:pPr>
        <w:ind w:left="2000" w:hanging="400"/>
      </w:pPr>
      <w:rPr>
        <w:vertAlign w:val="baseline"/>
      </w:rPr>
    </w:lvl>
    <w:lvl w:ilvl="3">
      <w:start w:val="1"/>
      <w:numFmt w:val="decimal"/>
      <w:lvlText w:val="%4."/>
      <w:lvlJc w:val="left"/>
      <w:pPr>
        <w:ind w:left="2400" w:hanging="400"/>
      </w:pPr>
      <w:rPr>
        <w:vertAlign w:val="baseline"/>
      </w:rPr>
    </w:lvl>
    <w:lvl w:ilvl="4">
      <w:start w:val="1"/>
      <w:numFmt w:val="upperLetter"/>
      <w:lvlText w:val="%5."/>
      <w:lvlJc w:val="left"/>
      <w:pPr>
        <w:ind w:left="2800" w:hanging="400"/>
      </w:pPr>
      <w:rPr>
        <w:vertAlign w:val="baseline"/>
      </w:rPr>
    </w:lvl>
    <w:lvl w:ilvl="5">
      <w:start w:val="1"/>
      <w:numFmt w:val="lowerRoman"/>
      <w:lvlText w:val="%6."/>
      <w:lvlJc w:val="right"/>
      <w:pPr>
        <w:ind w:left="3200" w:hanging="400"/>
      </w:pPr>
      <w:rPr>
        <w:vertAlign w:val="baseline"/>
      </w:rPr>
    </w:lvl>
    <w:lvl w:ilvl="6">
      <w:start w:val="1"/>
      <w:numFmt w:val="decimal"/>
      <w:lvlText w:val="%7."/>
      <w:lvlJc w:val="left"/>
      <w:pPr>
        <w:ind w:left="3600" w:hanging="400"/>
      </w:pPr>
      <w:rPr>
        <w:vertAlign w:val="baseline"/>
      </w:rPr>
    </w:lvl>
    <w:lvl w:ilvl="7">
      <w:start w:val="1"/>
      <w:numFmt w:val="upperLetter"/>
      <w:lvlText w:val="%8."/>
      <w:lvlJc w:val="left"/>
      <w:pPr>
        <w:ind w:left="4000" w:hanging="400"/>
      </w:pPr>
      <w:rPr>
        <w:vertAlign w:val="baseline"/>
      </w:rPr>
    </w:lvl>
    <w:lvl w:ilvl="8">
      <w:start w:val="1"/>
      <w:numFmt w:val="lowerRoman"/>
      <w:lvlText w:val="%9."/>
      <w:lvlJc w:val="right"/>
      <w:pPr>
        <w:ind w:left="4400" w:hanging="400"/>
      </w:pPr>
      <w:rPr>
        <w:vertAlign w:val="baseline"/>
      </w:rPr>
    </w:lvl>
  </w:abstractNum>
  <w:num w:numId="1" w16cid:durableId="1924022544">
    <w:abstractNumId w:val="2"/>
  </w:num>
  <w:num w:numId="2" w16cid:durableId="2146041870">
    <w:abstractNumId w:val="4"/>
  </w:num>
  <w:num w:numId="3" w16cid:durableId="131757326">
    <w:abstractNumId w:val="0"/>
  </w:num>
  <w:num w:numId="4" w16cid:durableId="59523007">
    <w:abstractNumId w:val="3"/>
  </w:num>
  <w:num w:numId="5" w16cid:durableId="445731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1D4"/>
    <w:rsid w:val="003A61D4"/>
    <w:rsid w:val="003E7ACE"/>
    <w:rsid w:val="005333BB"/>
    <w:rsid w:val="00660F55"/>
    <w:rsid w:val="00DD03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285F7"/>
  <w15:docId w15:val="{3CA555D8-8432-43B6-BBA3-1B3353E6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99" w:type="dxa"/>
        <w:right w:w="99" w:type="dxa"/>
      </w:tblCellMar>
    </w:tblPr>
  </w:style>
  <w:style w:type="paragraph" w:customStyle="1" w:styleId="a6">
    <w:name w:val="바탕글"/>
    <w:basedOn w:val="a"/>
    <w:rsid w:val="00660F55"/>
    <w:pPr>
      <w:widowControl w:val="0"/>
      <w:wordWrap w:val="0"/>
      <w:autoSpaceDE w:val="0"/>
      <w:autoSpaceDN w:val="0"/>
      <w:spacing w:line="384" w:lineRule="auto"/>
      <w:jc w:val="both"/>
      <w:textAlignment w:val="baseline"/>
    </w:pPr>
    <w:rPr>
      <w:rFonts w:ascii="함초롬바탕" w:eastAsia="굴림" w:hAnsi="굴림" w:cs="굴림"/>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75147">
      <w:bodyDiv w:val="1"/>
      <w:marLeft w:val="0"/>
      <w:marRight w:val="0"/>
      <w:marTop w:val="0"/>
      <w:marBottom w:val="0"/>
      <w:divBdr>
        <w:top w:val="none" w:sz="0" w:space="0" w:color="auto"/>
        <w:left w:val="none" w:sz="0" w:space="0" w:color="auto"/>
        <w:bottom w:val="none" w:sz="0" w:space="0" w:color="auto"/>
        <w:right w:val="none" w:sz="0" w:space="0" w:color="auto"/>
      </w:divBdr>
    </w:div>
    <w:div w:id="790712379">
      <w:bodyDiv w:val="1"/>
      <w:marLeft w:val="0"/>
      <w:marRight w:val="0"/>
      <w:marTop w:val="0"/>
      <w:marBottom w:val="0"/>
      <w:divBdr>
        <w:top w:val="none" w:sz="0" w:space="0" w:color="auto"/>
        <w:left w:val="none" w:sz="0" w:space="0" w:color="auto"/>
        <w:bottom w:val="none" w:sz="0" w:space="0" w:color="auto"/>
        <w:right w:val="none" w:sz="0" w:space="0" w:color="auto"/>
      </w:divBdr>
    </w:div>
    <w:div w:id="849682059">
      <w:bodyDiv w:val="1"/>
      <w:marLeft w:val="0"/>
      <w:marRight w:val="0"/>
      <w:marTop w:val="0"/>
      <w:marBottom w:val="0"/>
      <w:divBdr>
        <w:top w:val="none" w:sz="0" w:space="0" w:color="auto"/>
        <w:left w:val="none" w:sz="0" w:space="0" w:color="auto"/>
        <w:bottom w:val="none" w:sz="0" w:space="0" w:color="auto"/>
        <w:right w:val="none" w:sz="0" w:space="0" w:color="auto"/>
      </w:divBdr>
    </w:div>
    <w:div w:id="1854225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2561</Words>
  <Characters>14604</Characters>
  <Application>Microsoft Office Word</Application>
  <DocSecurity>0</DocSecurity>
  <Lines>121</Lines>
  <Paragraphs>34</Paragraphs>
  <ScaleCrop>false</ScaleCrop>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Tae Joon Kwon</cp:lastModifiedBy>
  <cp:revision>3</cp:revision>
  <dcterms:created xsi:type="dcterms:W3CDTF">2024-01-30T07:05:00Z</dcterms:created>
  <dcterms:modified xsi:type="dcterms:W3CDTF">2024-02-19T08:50:00Z</dcterms:modified>
</cp:coreProperties>
</file>